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pPr w:leftFromText="180" w:rightFromText="180" w:vertAnchor="text" w:horzAnchor="margin" w:tblpY="221"/>
        <w:tblOverlap w:val="never"/>
        <w:tblW w:w="10280"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0"/>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5" w:hRule="atLeast"/>
        </w:trPr>
        <w:tc>
          <w:tcPr>
            <w:tcW w:w="1028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eastAsia="仿宋"/>
                <w:sz w:val="32"/>
                <w:szCs w:val="32"/>
              </w:rPr>
            </w:pPr>
            <w:r>
              <w:rPr>
                <w:rFonts w:hAnsi="仿宋" w:eastAsia="仿宋"/>
                <w:sz w:val="32"/>
                <w:szCs w:val="32"/>
              </w:rPr>
              <w:t>新环审﹝</w:t>
            </w:r>
            <w:r>
              <w:rPr>
                <w:rFonts w:eastAsia="仿宋"/>
                <w:sz w:val="32"/>
                <w:szCs w:val="32"/>
              </w:rPr>
              <w:t>20</w:t>
            </w:r>
            <w:r>
              <w:rPr>
                <w:rFonts w:hint="eastAsia" w:eastAsia="仿宋"/>
                <w:sz w:val="32"/>
                <w:szCs w:val="32"/>
              </w:rPr>
              <w:t>22</w:t>
            </w:r>
            <w:r>
              <w:rPr>
                <w:rFonts w:hAnsi="仿宋" w:eastAsia="仿宋"/>
                <w:sz w:val="32"/>
                <w:szCs w:val="32"/>
              </w:rPr>
              <w:t>﹞</w:t>
            </w:r>
            <w:r>
              <w:rPr>
                <w:rFonts w:hint="eastAsia" w:hAnsi="仿宋" w:eastAsia="仿宋"/>
                <w:sz w:val="32"/>
                <w:szCs w:val="32"/>
                <w:lang w:val="en-US" w:eastAsia="zh-CN"/>
              </w:rPr>
              <w:t>51</w:t>
            </w:r>
            <w:r>
              <w:rPr>
                <w:rFonts w:hint="eastAsia" w:hAnsi="仿宋" w:eastAsia="仿宋"/>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val="0"/>
                <w:sz w:val="32"/>
                <w:szCs w:val="32"/>
                <w:highlight w:val="none"/>
                <w:lang w:eastAsia="zh-CN"/>
              </w:rPr>
            </w:pPr>
            <w:r>
              <w:rPr>
                <w:rFonts w:hint="eastAsia" w:ascii="宋体" w:hAnsi="宋体" w:eastAsia="宋体" w:cs="宋体"/>
                <w:b/>
                <w:bCs w:val="0"/>
                <w:sz w:val="32"/>
                <w:szCs w:val="32"/>
                <w:highlight w:val="none"/>
                <w:lang w:eastAsia="zh-CN"/>
              </w:rPr>
              <w:t>郑州巨生利能源有限责任公司年收集贮存2万吨废旧</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z w:val="32"/>
                <w:szCs w:val="32"/>
              </w:rPr>
            </w:pPr>
            <w:r>
              <w:rPr>
                <w:rFonts w:hint="eastAsia" w:ascii="宋体" w:hAnsi="宋体" w:eastAsia="宋体" w:cs="宋体"/>
                <w:b/>
                <w:bCs w:val="0"/>
                <w:sz w:val="32"/>
                <w:szCs w:val="32"/>
                <w:highlight w:val="none"/>
                <w:lang w:eastAsia="zh-CN"/>
              </w:rPr>
              <w:t>铅蓄电池项目</w:t>
            </w:r>
            <w:r>
              <w:rPr>
                <w:rFonts w:hint="eastAsia" w:ascii="宋体" w:hAnsi="宋体" w:eastAsia="宋体" w:cs="宋体"/>
                <w:b/>
                <w:bCs/>
                <w:sz w:val="32"/>
                <w:szCs w:val="32"/>
              </w:rPr>
              <w:t>环境影响报告表批</w:t>
            </w:r>
            <w:r>
              <w:rPr>
                <w:rFonts w:hint="eastAsia" w:ascii="宋体" w:hAnsi="宋体" w:eastAsia="宋体" w:cs="宋体"/>
                <w:b/>
                <w:bCs/>
                <w:sz w:val="32"/>
                <w:szCs w:val="32"/>
                <w:lang w:eastAsia="zh-CN"/>
              </w:rPr>
              <w:t>复</w:t>
            </w:r>
            <w:r>
              <w:rPr>
                <w:rFonts w:hint="eastAsia" w:ascii="宋体" w:hAnsi="宋体" w:eastAsia="宋体" w:cs="宋体"/>
                <w:b/>
                <w:bCs/>
                <w:sz w:val="32"/>
                <w:szCs w:val="32"/>
              </w:rPr>
              <w:t>意见</w:t>
            </w:r>
          </w:p>
          <w:p>
            <w:pPr>
              <w:keepNext w:val="0"/>
              <w:keepLines w:val="0"/>
              <w:pageBreakBefore w:val="0"/>
              <w:kinsoku/>
              <w:wordWrap/>
              <w:overflowPunct/>
              <w:topLinePunct w:val="0"/>
              <w:autoSpaceDE/>
              <w:autoSpaceDN/>
              <w:bidi w:val="0"/>
              <w:adjustRightInd w:val="0"/>
              <w:snapToGrid w:val="0"/>
              <w:spacing w:line="460" w:lineRule="exact"/>
              <w:textAlignment w:val="auto"/>
              <w:outlineLvl w:val="1"/>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pPr>
            <w:r>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t>郑州巨生利能源有限责任公司:</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outlineLvl w:val="1"/>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pPr>
            <w:r>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t>你单位报送的由</w:t>
            </w:r>
            <w:r>
              <w:rPr>
                <w:rFonts w:hint="eastAsia" w:ascii="仿宋_GB2312" w:hAnsi="仿宋_GB2312" w:eastAsia="仿宋_GB2312" w:cs="仿宋_GB2312"/>
                <w:b w:val="0"/>
                <w:bCs/>
                <w:color w:val="auto"/>
                <w:spacing w:val="0"/>
                <w:kern w:val="0"/>
                <w:position w:val="0"/>
                <w:sz w:val="28"/>
                <w:szCs w:val="28"/>
                <w:highlight w:val="none"/>
                <w:u w:val="none" w:color="auto"/>
                <w:lang w:val="zh-CN" w:eastAsia="zh-CN"/>
              </w:rPr>
              <w:t>郑州容成环保工程有限公司</w:t>
            </w:r>
            <w:r>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t>编制的《年收集贮存2万吨废旧铅蓄电池项目环境影响报告表》（以下简称《报告表》）已收悉。根据河南国环环保科技有限公司出具的技术评估报告（豫国环新评〔2022〕31号），该项目审批事项在郑州市政务服务网站公示，经研究，依法批复如下：</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outlineLvl w:val="1"/>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pPr>
            <w:r>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t>一、该《报告表》内容符合国家有关法律法规要求和建设项目环境管理规定，符合“三线一单”生态环境分区管控要求，评价结论可信。我局批准该《报告表》，原则同意你单位按照《报告表》所列项目的建设内容和生态环境保护措施进行项目建设。</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outlineLvl w:val="1"/>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pPr>
            <w:r>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t>二、你单位应向社会公众主动公开已经批准的《报告表》，并接受相关方的垂询。</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outlineLvl w:val="1"/>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pPr>
            <w:r>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t>三、你单位应全面落实《报告表》提出的各项环境保护措施，确保各项环境保护设施与主体工程同时设计、同时施工、同时投入使用，确保各项污染物达标排放；项目建成后按规定程序实施竣工环境保护验收，并接受各级生态环境部门监督检查。</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outlineLvl w:val="1"/>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pPr>
            <w:r>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t>（一）向设计单位提供《报告表》和本批复文件，确保项目设计符合环境保护设计规范要求，落实防治环境污染和生态破坏的措施及环保设施投资概算。</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outlineLvl w:val="1"/>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pPr>
            <w:r>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t>（二）依据《报告表》和本批复文件，对项目建设及运行过程中产生的废气、废水、固体废物、噪声等污染，以及因施工对生态环境造成的破坏，采取相应的防治措施及生态环境影响减缓措施。</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outlineLvl w:val="1"/>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pPr>
            <w:r>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t>（三）项目污染控制应满足以下要求：</w:t>
            </w:r>
          </w:p>
          <w:p>
            <w:pPr>
              <w:keepNext w:val="0"/>
              <w:keepLines w:val="0"/>
              <w:pageBreakBefore w:val="0"/>
              <w:kinsoku/>
              <w:wordWrap/>
              <w:overflowPunct/>
              <w:topLinePunct w:val="0"/>
              <w:autoSpaceDE/>
              <w:autoSpaceDN/>
              <w:bidi w:val="0"/>
              <w:adjustRightInd w:val="0"/>
              <w:snapToGrid w:val="0"/>
              <w:spacing w:line="460" w:lineRule="exact"/>
              <w:ind w:firstLine="560" w:firstLineChars="200"/>
              <w:jc w:val="left"/>
              <w:textAlignment w:val="auto"/>
              <w:outlineLvl w:val="1"/>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t>1、废气。项目</w:t>
            </w:r>
            <w:r>
              <w:rPr>
                <w:rFonts w:hint="eastAsia" w:ascii="仿宋_GB2312" w:hAnsi="仿宋_GB2312" w:eastAsia="仿宋_GB2312" w:cs="仿宋_GB2312"/>
                <w:b w:val="0"/>
                <w:bCs w:val="0"/>
                <w:color w:val="auto"/>
                <w:sz w:val="28"/>
                <w:szCs w:val="28"/>
                <w:highlight w:val="none"/>
                <w:u w:val="none" w:color="auto"/>
              </w:rPr>
              <w:t>破损</w:t>
            </w:r>
            <w:r>
              <w:rPr>
                <w:rFonts w:hint="eastAsia" w:ascii="仿宋_GB2312" w:hAnsi="仿宋_GB2312" w:eastAsia="仿宋_GB2312" w:cs="仿宋_GB2312"/>
                <w:b w:val="0"/>
                <w:bCs w:val="0"/>
                <w:color w:val="auto"/>
                <w:sz w:val="28"/>
                <w:szCs w:val="28"/>
                <w:highlight w:val="none"/>
                <w:u w:val="none" w:color="auto"/>
                <w:lang w:eastAsia="zh-CN"/>
              </w:rPr>
              <w:t>废铅蓄</w:t>
            </w:r>
            <w:r>
              <w:rPr>
                <w:rFonts w:hint="eastAsia" w:ascii="仿宋_GB2312" w:hAnsi="仿宋_GB2312" w:eastAsia="仿宋_GB2312" w:cs="仿宋_GB2312"/>
                <w:b w:val="0"/>
                <w:bCs w:val="0"/>
                <w:color w:val="auto"/>
                <w:sz w:val="28"/>
                <w:szCs w:val="28"/>
                <w:highlight w:val="none"/>
                <w:u w:val="none" w:color="auto"/>
              </w:rPr>
              <w:t>电池</w:t>
            </w:r>
            <w:r>
              <w:rPr>
                <w:rFonts w:hint="eastAsia" w:ascii="仿宋_GB2312" w:hAnsi="仿宋_GB2312" w:eastAsia="仿宋_GB2312" w:cs="仿宋_GB2312"/>
                <w:b w:val="0"/>
                <w:bCs w:val="0"/>
                <w:color w:val="auto"/>
                <w:sz w:val="28"/>
                <w:szCs w:val="28"/>
                <w:highlight w:val="none"/>
                <w:u w:val="none" w:color="auto"/>
                <w:lang w:eastAsia="zh-CN"/>
              </w:rPr>
              <w:t>储存间</w:t>
            </w:r>
            <w:r>
              <w:rPr>
                <w:rFonts w:hint="eastAsia" w:ascii="仿宋_GB2312" w:hAnsi="仿宋_GB2312" w:eastAsia="仿宋_GB2312" w:cs="仿宋_GB2312"/>
                <w:b w:val="0"/>
                <w:bCs w:val="0"/>
                <w:color w:val="auto"/>
                <w:sz w:val="28"/>
                <w:szCs w:val="28"/>
                <w:highlight w:val="none"/>
                <w:u w:val="none" w:color="auto"/>
              </w:rPr>
              <w:t>密闭，</w:t>
            </w:r>
            <w:r>
              <w:rPr>
                <w:rFonts w:hint="eastAsia" w:ascii="仿宋_GB2312" w:hAnsi="仿宋_GB2312" w:eastAsia="仿宋_GB2312" w:cs="仿宋_GB2312"/>
                <w:b w:val="0"/>
                <w:bCs w:val="0"/>
                <w:color w:val="auto"/>
                <w:sz w:val="28"/>
                <w:szCs w:val="28"/>
                <w:highlight w:val="none"/>
                <w:u w:val="none" w:color="auto"/>
                <w:lang w:eastAsia="zh-CN"/>
              </w:rPr>
              <w:t>设置负压抽风装置；废液收集池密闭，设置管道；废气经收集引至</w:t>
            </w:r>
            <w:r>
              <w:rPr>
                <w:rFonts w:hint="eastAsia" w:ascii="仿宋_GB2312" w:hAnsi="仿宋_GB2312" w:eastAsia="仿宋_GB2312" w:cs="仿宋_GB2312"/>
                <w:b w:val="0"/>
                <w:bCs w:val="0"/>
                <w:color w:val="auto"/>
                <w:sz w:val="28"/>
                <w:szCs w:val="28"/>
                <w:highlight w:val="none"/>
                <w:u w:val="none" w:color="auto"/>
              </w:rPr>
              <w:t>酸雾吸收塔</w:t>
            </w:r>
            <w:r>
              <w:rPr>
                <w:rFonts w:hint="eastAsia" w:ascii="仿宋_GB2312" w:hAnsi="仿宋_GB2312" w:eastAsia="仿宋_GB2312" w:cs="仿宋_GB2312"/>
                <w:sz w:val="28"/>
                <w:szCs w:val="28"/>
                <w:lang w:eastAsia="zh-CN"/>
              </w:rPr>
              <w:t>处理后通过</w:t>
            </w:r>
            <w:r>
              <w:rPr>
                <w:rFonts w:hint="eastAsia" w:ascii="仿宋_GB2312" w:hAnsi="仿宋_GB2312" w:eastAsia="仿宋_GB2312" w:cs="仿宋_GB2312"/>
                <w:sz w:val="28"/>
                <w:szCs w:val="28"/>
                <w:lang w:val="en-US" w:eastAsia="zh-CN"/>
              </w:rPr>
              <w:t>1根15米排气筒排放。</w:t>
            </w:r>
            <w:r>
              <w:rPr>
                <w:rFonts w:hint="eastAsia" w:ascii="仿宋_GB2312" w:hAnsi="仿宋_GB2312" w:eastAsia="仿宋_GB2312" w:cs="仿宋_GB2312"/>
                <w:sz w:val="28"/>
                <w:szCs w:val="28"/>
                <w:lang w:eastAsia="zh-CN"/>
              </w:rPr>
              <w:t>经处理后</w:t>
            </w:r>
            <w:r>
              <w:rPr>
                <w:rFonts w:hint="eastAsia" w:ascii="仿宋_GB2312" w:hAnsi="仿宋_GB2312" w:eastAsia="仿宋_GB2312" w:cs="仿宋_GB2312"/>
                <w:sz w:val="28"/>
                <w:szCs w:val="28"/>
                <w:lang w:val="en-US" w:eastAsia="zh-CN"/>
              </w:rPr>
              <w:t>的</w:t>
            </w:r>
            <w:r>
              <w:rPr>
                <w:rFonts w:hint="eastAsia" w:ascii="仿宋_GB2312" w:hAnsi="仿宋_GB2312" w:eastAsia="仿宋_GB2312" w:cs="仿宋_GB2312"/>
                <w:sz w:val="28"/>
                <w:szCs w:val="28"/>
                <w:lang w:eastAsia="zh-CN"/>
              </w:rPr>
              <w:t>硫酸雾</w:t>
            </w:r>
            <w:r>
              <w:rPr>
                <w:rFonts w:hint="eastAsia" w:ascii="仿宋_GB2312" w:hAnsi="仿宋_GB2312" w:eastAsia="仿宋_GB2312" w:cs="仿宋_GB2312"/>
                <w:sz w:val="28"/>
                <w:szCs w:val="28"/>
                <w:lang w:val="en-US" w:eastAsia="zh-CN"/>
              </w:rPr>
              <w:t>废气排放</w:t>
            </w:r>
            <w:r>
              <w:rPr>
                <w:rFonts w:hint="eastAsia" w:ascii="仿宋_GB2312" w:hAnsi="仿宋_GB2312" w:eastAsia="仿宋_GB2312" w:cs="仿宋_GB2312"/>
                <w:sz w:val="28"/>
                <w:szCs w:val="28"/>
                <w:lang w:eastAsia="zh-CN"/>
              </w:rPr>
              <w:t>满足《大气污染物综合排放标准》</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（GB16297-1996）表2中二级标准的要求。</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outlineLvl w:val="1"/>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pPr>
            <w:r>
              <w:rPr>
                <w:rFonts w:hint="eastAsia" w:ascii="仿宋_GB2312" w:hAnsi="仿宋_GB2312" w:eastAsia="仿宋_GB2312" w:cs="仿宋_GB2312"/>
                <w:b w:val="0"/>
                <w:bCs w:val="0"/>
                <w:sz w:val="28"/>
                <w:szCs w:val="28"/>
                <w:u w:val="none"/>
                <w:lang w:val="en-US" w:eastAsia="zh-CN"/>
              </w:rPr>
              <w:t>2、</w:t>
            </w:r>
            <w:r>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t>废水。项目产生的生活废水经化粪池处理后，排入新郑市泽源水务有限公司新郑市城关污水处理厂处理，满足《污水综合排放标准》（GB8978-1996）表4三级标准、新郑市泽源水务有限公司新郑市城关污水处理厂收水水质要求。</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outlineLvl w:val="1"/>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pPr>
            <w:r>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t>3、噪声。项目运输车辆装卸过程规范操作，降低噪声，厂区禁止鸣笛；设备选用低噪声风机、风机单独封闭、厂房隔声等措施，各厂界噪声满足《工业企业厂界环境噪声排放标准》（GB12348-2008）2类标准。</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outlineLvl w:val="1"/>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pPr>
            <w:r>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t>4、固体废物。该项目固体废物包括废劳保用品、酸雾吸收塔废液、中和渣、废抹布和职工生活垃圾。其中废劳保用品、酸雾吸收塔废液、中和渣、废抹布等属于危险废物，采用密闭容器进行分类保存，存放于危废间，及时交由有资质单位处理，危险废物处置满足《危险废物贮存污染控制标准》（GB18957-2001）及其修改单要求。职工生活垃圾经收集后交由环卫部门处理。</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outlineLvl w:val="1"/>
              <w:rPr>
                <w:rFonts w:hint="eastAsia" w:ascii="仿宋_GB2312" w:hAnsi="仿宋_GB2312" w:eastAsia="仿宋_GB2312" w:cs="仿宋_GB2312"/>
                <w:b w:val="0"/>
                <w:bCs/>
                <w:color w:val="auto"/>
                <w:sz w:val="28"/>
                <w:szCs w:val="28"/>
                <w:highlight w:val="none"/>
                <w:u w:val="none" w:color="auto"/>
                <w:lang w:val="en-US" w:eastAsia="zh-CN"/>
              </w:rPr>
            </w:pPr>
            <w:r>
              <w:rPr>
                <w:rFonts w:hint="eastAsia" w:ascii="仿宋_GB2312" w:hAnsi="仿宋_GB2312" w:eastAsia="仿宋_GB2312" w:cs="仿宋_GB2312"/>
                <w:b w:val="0"/>
                <w:bCs/>
                <w:color w:val="auto"/>
                <w:spacing w:val="0"/>
                <w:kern w:val="0"/>
                <w:position w:val="0"/>
                <w:sz w:val="28"/>
                <w:szCs w:val="28"/>
                <w:highlight w:val="none"/>
                <w:u w:val="none" w:color="auto"/>
                <w:lang w:val="en-US" w:eastAsia="zh-CN"/>
              </w:rPr>
              <w:t>5、</w:t>
            </w:r>
            <w:r>
              <w:rPr>
                <w:rFonts w:hint="eastAsia" w:ascii="仿宋_GB2312" w:hAnsi="仿宋_GB2312" w:eastAsia="仿宋_GB2312" w:cs="仿宋_GB2312"/>
                <w:sz w:val="28"/>
                <w:szCs w:val="28"/>
                <w:lang w:eastAsia="zh-CN"/>
              </w:rPr>
              <w:t>要严格落实《报告表》中提出的土壤及地下水污染防治措施、环境风险防范措施和其他环境管理要求。</w:t>
            </w:r>
          </w:p>
          <w:p>
            <w:pPr>
              <w:keepNext w:val="0"/>
              <w:keepLines w:val="0"/>
              <w:pageBreakBefore w:val="0"/>
              <w:kinsoku/>
              <w:wordWrap/>
              <w:overflowPunct/>
              <w:topLinePunct w:val="0"/>
              <w:autoSpaceDE/>
              <w:autoSpaceDN/>
              <w:bidi w:val="0"/>
              <w:adjustRightInd w:val="0"/>
              <w:snapToGrid w:val="0"/>
              <w:spacing w:line="460" w:lineRule="exact"/>
              <w:ind w:firstLine="551" w:firstLineChars="197"/>
              <w:textAlignment w:val="auto"/>
              <w:outlineLvl w:val="9"/>
              <w:rPr>
                <w:rFonts w:hint="eastAsia" w:ascii="仿宋_GB2312" w:hAnsi="仿宋_GB2312" w:eastAsia="仿宋_GB2312" w:cs="仿宋_GB2312"/>
                <w:b w:val="0"/>
                <w:bCs/>
                <w:color w:val="auto"/>
                <w:sz w:val="28"/>
                <w:szCs w:val="28"/>
                <w:highlight w:val="none"/>
                <w:u w:val="none" w:color="auto"/>
                <w:lang w:val="en-US" w:eastAsia="zh-CN"/>
              </w:rPr>
            </w:pPr>
            <w:r>
              <w:rPr>
                <w:rFonts w:hint="eastAsia" w:ascii="仿宋_GB2312" w:hAnsi="仿宋_GB2312" w:eastAsia="仿宋_GB2312" w:cs="仿宋_GB2312"/>
                <w:b w:val="0"/>
                <w:bCs/>
                <w:color w:val="auto"/>
                <w:sz w:val="28"/>
                <w:szCs w:val="28"/>
                <w:highlight w:val="none"/>
                <w:u w:val="none" w:color="auto"/>
                <w:lang w:val="en-US" w:eastAsia="zh-CN"/>
              </w:rPr>
              <w:t>6、本项目建成后，主要污染物排放总量应严格按照郑州市生态环境局新郑分局分配预支增量指标落实（项目编号：2022-032）。</w:t>
            </w:r>
          </w:p>
          <w:p>
            <w:pPr>
              <w:keepNext w:val="0"/>
              <w:keepLines w:val="0"/>
              <w:pageBreakBefore w:val="0"/>
              <w:kinsoku/>
              <w:wordWrap/>
              <w:overflowPunct/>
              <w:topLinePunct w:val="0"/>
              <w:autoSpaceDE/>
              <w:autoSpaceDN/>
              <w:bidi w:val="0"/>
              <w:adjustRightInd w:val="0"/>
              <w:snapToGrid w:val="0"/>
              <w:spacing w:line="460" w:lineRule="exact"/>
              <w:ind w:firstLine="551" w:firstLineChars="197"/>
              <w:textAlignment w:val="auto"/>
              <w:outlineLvl w:val="9"/>
              <w:rPr>
                <w:rFonts w:hint="eastAsia" w:ascii="仿宋_GB2312" w:hAnsi="仿宋_GB2312" w:eastAsia="仿宋_GB2312" w:cs="仿宋_GB2312"/>
                <w:b w:val="0"/>
                <w:bCs/>
                <w:color w:val="auto"/>
                <w:sz w:val="28"/>
                <w:szCs w:val="28"/>
                <w:highlight w:val="none"/>
                <w:u w:val="none" w:color="auto"/>
                <w:lang w:val="en-US" w:eastAsia="zh-CN"/>
              </w:rPr>
            </w:pPr>
            <w:r>
              <w:rPr>
                <w:rFonts w:hint="eastAsia" w:ascii="仿宋_GB2312" w:hAnsi="仿宋_GB2312" w:eastAsia="仿宋_GB2312" w:cs="仿宋_GB2312"/>
                <w:b w:val="0"/>
                <w:bCs/>
                <w:color w:val="auto"/>
                <w:sz w:val="28"/>
                <w:szCs w:val="28"/>
                <w:highlight w:val="none"/>
                <w:u w:val="none" w:color="auto"/>
                <w:lang w:val="en-US" w:eastAsia="zh-CN"/>
              </w:rPr>
              <w:t>四、项目规模、性质、地点、采用的生产工艺或者防治污染、防治生态破坏的措施发生重大变化时需重新报批。</w:t>
            </w:r>
          </w:p>
          <w:p>
            <w:pPr>
              <w:keepNext w:val="0"/>
              <w:keepLines w:val="0"/>
              <w:pageBreakBefore w:val="0"/>
              <w:widowControl/>
              <w:kinsoku/>
              <w:wordWrap/>
              <w:overflowPunct/>
              <w:topLinePunct w:val="0"/>
              <w:autoSpaceDE/>
              <w:autoSpaceDN/>
              <w:bidi w:val="0"/>
              <w:spacing w:line="460" w:lineRule="exact"/>
              <w:ind w:firstLine="560" w:firstLineChars="200"/>
              <w:jc w:val="left"/>
              <w:textAlignment w:val="auto"/>
              <w:outlineLvl w:val="9"/>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五、如果今后国家或我省颁布新的标准，届时你单位应按照新标准执行。</w:t>
            </w:r>
          </w:p>
          <w:p>
            <w:pPr>
              <w:keepNext w:val="0"/>
              <w:keepLines w:val="0"/>
              <w:pageBreakBefore w:val="0"/>
              <w:widowControl/>
              <w:kinsoku/>
              <w:wordWrap/>
              <w:overflowPunct/>
              <w:topLinePunct w:val="0"/>
              <w:autoSpaceDE/>
              <w:autoSpaceDN/>
              <w:bidi w:val="0"/>
              <w:spacing w:line="460" w:lineRule="exact"/>
              <w:ind w:firstLine="560" w:firstLineChars="200"/>
              <w:jc w:val="left"/>
              <w:textAlignment w:val="auto"/>
              <w:outlineLvl w:val="9"/>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六、本批复有效期为5年，如该项目逾期方开工建设，其《报告表》应报我局重新审核。</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 xml:space="preserve">七、项目环境保护日常监督检查由郑州市生态环境局新郑综合行政执法大队负责。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b w:val="0"/>
                <w:bCs w:val="0"/>
                <w:color w:val="auto"/>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720" w:firstLineChars="2400"/>
              <w:jc w:val="both"/>
              <w:textAlignment w:val="auto"/>
              <w:rPr>
                <w:rFonts w:hint="eastAsia" w:ascii="仿宋_GB2312" w:eastAsia="仿宋_GB2312"/>
                <w:sz w:val="32"/>
                <w:szCs w:val="32"/>
                <w:lang w:val="en-US" w:eastAsia="zh-CN"/>
              </w:rPr>
            </w:pPr>
            <w:bookmarkStart w:id="0" w:name="_GoBack"/>
            <w:bookmarkEnd w:id="0"/>
            <w:r>
              <w:rPr>
                <w:rFonts w:hint="eastAsia" w:ascii="仿宋_GB2312" w:hAnsi="仿宋_GB2312" w:eastAsia="仿宋_GB2312" w:cs="仿宋_GB2312"/>
                <w:b w:val="0"/>
                <w:bCs w:val="0"/>
                <w:color w:val="auto"/>
                <w:sz w:val="28"/>
                <w:szCs w:val="28"/>
                <w:highlight w:val="none"/>
                <w:u w:val="none"/>
                <w:lang w:val="en-US" w:eastAsia="zh-CN"/>
              </w:rPr>
              <w:t xml:space="preserve">2022年9月27日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5" w:hRule="atLeast"/>
        </w:trPr>
        <w:tc>
          <w:tcPr>
            <w:tcW w:w="1028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00" w:lineRule="exact"/>
              <w:ind w:firstLine="960" w:firstLineChars="300"/>
              <w:jc w:val="both"/>
              <w:textAlignment w:val="auto"/>
              <w:rPr>
                <w:rFonts w:hint="eastAsia" w:ascii="仿宋_GB2312" w:eastAsia="仿宋_GB2312"/>
                <w:sz w:val="32"/>
                <w:szCs w:val="32"/>
              </w:rPr>
            </w:pPr>
          </w:p>
        </w:tc>
      </w:tr>
    </w:tbl>
    <w:p>
      <w:pPr>
        <w:spacing w:line="600" w:lineRule="exact"/>
        <w:rPr>
          <w:rFonts w:ascii="仿宋_GB2312" w:eastAsia="仿宋_GB2312"/>
          <w:b/>
          <w:sz w:val="30"/>
          <w:szCs w:val="32"/>
        </w:rPr>
      </w:pPr>
    </w:p>
    <w:sectPr>
      <w:headerReference r:id="rId3" w:type="default"/>
      <w:pgSz w:w="11907" w:h="16840"/>
      <w:pgMar w:top="1077" w:right="1418" w:bottom="1077" w:left="1134" w:header="720" w:footer="720" w:gutter="0"/>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5217"/>
    <w:multiLevelType w:val="multilevel"/>
    <w:tmpl w:val="0C085217"/>
    <w:lvl w:ilvl="0" w:tentative="0">
      <w:start w:val="1"/>
      <w:numFmt w:val="chineseCountingThousand"/>
      <w:pStyle w:val="2"/>
      <w:lvlText w:val="第%1章"/>
      <w:lvlJc w:val="left"/>
      <w:pPr>
        <w:tabs>
          <w:tab w:val="left" w:pos="425"/>
        </w:tabs>
        <w:ind w:left="425" w:hanging="425"/>
      </w:pPr>
      <w:rPr>
        <w:rFonts w:hint="eastAsia"/>
      </w:rPr>
    </w:lvl>
    <w:lvl w:ilvl="1" w:tentative="0">
      <w:start w:val="1"/>
      <w:numFmt w:val="none"/>
      <w:isLgl/>
      <w:lvlText w:val="%1"/>
      <w:lvlJc w:val="left"/>
      <w:pPr>
        <w:tabs>
          <w:tab w:val="left" w:pos="425"/>
        </w:tabs>
        <w:ind w:left="425" w:hanging="425"/>
      </w:pPr>
      <w:rPr>
        <w:rFonts w:hint="eastAsia"/>
      </w:rPr>
    </w:lvl>
    <w:lvl w:ilvl="2" w:tentative="0">
      <w:start w:val="1"/>
      <w:numFmt w:val="decimal"/>
      <w:isLgl/>
      <w:lvlText w:val="%1.%3"/>
      <w:lvlJc w:val="left"/>
      <w:pPr>
        <w:tabs>
          <w:tab w:val="left" w:pos="567"/>
        </w:tabs>
        <w:ind w:left="567" w:hanging="567"/>
      </w:pPr>
      <w:rPr>
        <w:rFonts w:hint="eastAsia"/>
      </w:rPr>
    </w:lvl>
    <w:lvl w:ilvl="3" w:tentative="0">
      <w:start w:val="1"/>
      <w:numFmt w:val="decimal"/>
      <w:isLgl/>
      <w:lvlText w:val="%1.%3.%4"/>
      <w:lvlJc w:val="left"/>
      <w:pPr>
        <w:tabs>
          <w:tab w:val="left" w:pos="425"/>
        </w:tabs>
        <w:ind w:left="425" w:hanging="425"/>
      </w:pPr>
      <w:rPr>
        <w:rFonts w:hint="eastAsia"/>
      </w:rPr>
    </w:lvl>
    <w:lvl w:ilvl="4" w:tentative="0">
      <w:start w:val="1"/>
      <w:numFmt w:val="decimal"/>
      <w:isLgl/>
      <w:lvlText w:val="%1.%3.%4.%5"/>
      <w:lvlJc w:val="left"/>
      <w:pPr>
        <w:tabs>
          <w:tab w:val="left" w:pos="425"/>
        </w:tabs>
        <w:ind w:left="425" w:hanging="425"/>
      </w:pPr>
      <w:rPr>
        <w:rFonts w:hint="eastAsia"/>
        <w:b w:val="0"/>
      </w:rPr>
    </w:lvl>
    <w:lvl w:ilvl="5" w:tentative="0">
      <w:start w:val="1"/>
      <w:numFmt w:val="decimal"/>
      <w:lvlText w:val="（%6）"/>
      <w:lvlJc w:val="left"/>
      <w:pPr>
        <w:tabs>
          <w:tab w:val="left" w:pos="198"/>
        </w:tabs>
        <w:ind w:left="624" w:hanging="624"/>
      </w:pPr>
      <w:rPr>
        <w:rFonts w:hint="eastAsia"/>
      </w:rPr>
    </w:lvl>
    <w:lvl w:ilvl="6" w:tentative="0">
      <w:start w:val="1"/>
      <w:numFmt w:val="decimal"/>
      <w:lvlText w:val="%7"/>
      <w:lvlJc w:val="left"/>
      <w:pPr>
        <w:tabs>
          <w:tab w:val="left" w:pos="794"/>
        </w:tabs>
        <w:ind w:left="794" w:hanging="425"/>
      </w:pPr>
      <w:rPr>
        <w:rFonts w:hint="eastAsia"/>
      </w:rPr>
    </w:lvl>
    <w:lvl w:ilvl="7" w:tentative="0">
      <w:start w:val="1"/>
      <w:numFmt w:val="upperLetter"/>
      <w:lvlText w:val="%8、"/>
      <w:lvlJc w:val="left"/>
      <w:pPr>
        <w:tabs>
          <w:tab w:val="left" w:pos="964"/>
        </w:tabs>
        <w:ind w:left="964" w:hanging="425"/>
      </w:pPr>
      <w:rPr>
        <w:rFonts w:hint="eastAsia"/>
      </w:rPr>
    </w:lvl>
    <w:lvl w:ilvl="8" w:tentative="0">
      <w:start w:val="1"/>
      <w:numFmt w:val="lowerLetter"/>
      <w:lvlText w:val="%9、"/>
      <w:lvlJc w:val="left"/>
      <w:pPr>
        <w:tabs>
          <w:tab w:val="left" w:pos="1134"/>
        </w:tabs>
        <w:ind w:left="1134"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drawingGridHorizontalSpacing w:val="0"/>
  <w:drawingGridVerticalSpacing w:val="285"/>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88"/>
    <w:rsid w:val="00012F88"/>
    <w:rsid w:val="000435E9"/>
    <w:rsid w:val="0005313E"/>
    <w:rsid w:val="00093B66"/>
    <w:rsid w:val="000B2FCF"/>
    <w:rsid w:val="000E57E2"/>
    <w:rsid w:val="000F7AFB"/>
    <w:rsid w:val="00105DB1"/>
    <w:rsid w:val="00106255"/>
    <w:rsid w:val="00125AFB"/>
    <w:rsid w:val="00130B36"/>
    <w:rsid w:val="0014377A"/>
    <w:rsid w:val="00160A06"/>
    <w:rsid w:val="001651C9"/>
    <w:rsid w:val="001671B0"/>
    <w:rsid w:val="00171756"/>
    <w:rsid w:val="00172A27"/>
    <w:rsid w:val="00180B70"/>
    <w:rsid w:val="001846E7"/>
    <w:rsid w:val="001A72D7"/>
    <w:rsid w:val="001B086E"/>
    <w:rsid w:val="001C434E"/>
    <w:rsid w:val="001D2560"/>
    <w:rsid w:val="001D5C90"/>
    <w:rsid w:val="001E2999"/>
    <w:rsid w:val="001F4105"/>
    <w:rsid w:val="002104DD"/>
    <w:rsid w:val="00233221"/>
    <w:rsid w:val="00243E16"/>
    <w:rsid w:val="00250F7A"/>
    <w:rsid w:val="00255928"/>
    <w:rsid w:val="002642EF"/>
    <w:rsid w:val="0028245A"/>
    <w:rsid w:val="002A0A74"/>
    <w:rsid w:val="002A4980"/>
    <w:rsid w:val="00314428"/>
    <w:rsid w:val="00331DE4"/>
    <w:rsid w:val="0036205F"/>
    <w:rsid w:val="00370EED"/>
    <w:rsid w:val="003A4A1B"/>
    <w:rsid w:val="003B37A8"/>
    <w:rsid w:val="003C621C"/>
    <w:rsid w:val="003C7E50"/>
    <w:rsid w:val="003D49A7"/>
    <w:rsid w:val="003E0BD3"/>
    <w:rsid w:val="003F6FCE"/>
    <w:rsid w:val="004064EF"/>
    <w:rsid w:val="00423ED9"/>
    <w:rsid w:val="00440FBA"/>
    <w:rsid w:val="00464FBF"/>
    <w:rsid w:val="00475F62"/>
    <w:rsid w:val="00491404"/>
    <w:rsid w:val="0049613E"/>
    <w:rsid w:val="004A3E4B"/>
    <w:rsid w:val="004A5424"/>
    <w:rsid w:val="004B507A"/>
    <w:rsid w:val="004D22CE"/>
    <w:rsid w:val="004D43D4"/>
    <w:rsid w:val="004D4925"/>
    <w:rsid w:val="004E4873"/>
    <w:rsid w:val="004F0C02"/>
    <w:rsid w:val="005003D8"/>
    <w:rsid w:val="0053355E"/>
    <w:rsid w:val="00535B7A"/>
    <w:rsid w:val="0057222A"/>
    <w:rsid w:val="005857A1"/>
    <w:rsid w:val="005978CF"/>
    <w:rsid w:val="005B1E83"/>
    <w:rsid w:val="005B416E"/>
    <w:rsid w:val="005C2F98"/>
    <w:rsid w:val="005D07FC"/>
    <w:rsid w:val="005D5241"/>
    <w:rsid w:val="005D5BDF"/>
    <w:rsid w:val="005E0BAE"/>
    <w:rsid w:val="005F1674"/>
    <w:rsid w:val="00614475"/>
    <w:rsid w:val="0062048A"/>
    <w:rsid w:val="00622BB6"/>
    <w:rsid w:val="006243B2"/>
    <w:rsid w:val="006249BE"/>
    <w:rsid w:val="00636112"/>
    <w:rsid w:val="006460C3"/>
    <w:rsid w:val="006544FA"/>
    <w:rsid w:val="0067308E"/>
    <w:rsid w:val="006743FD"/>
    <w:rsid w:val="00692636"/>
    <w:rsid w:val="00694E53"/>
    <w:rsid w:val="006970F3"/>
    <w:rsid w:val="006A465B"/>
    <w:rsid w:val="006A78E2"/>
    <w:rsid w:val="006B71B9"/>
    <w:rsid w:val="006C6A82"/>
    <w:rsid w:val="006D7584"/>
    <w:rsid w:val="006F2076"/>
    <w:rsid w:val="006F7266"/>
    <w:rsid w:val="007205A5"/>
    <w:rsid w:val="00746775"/>
    <w:rsid w:val="007577F2"/>
    <w:rsid w:val="007669A8"/>
    <w:rsid w:val="00773DD7"/>
    <w:rsid w:val="00775EB2"/>
    <w:rsid w:val="00783A11"/>
    <w:rsid w:val="00786050"/>
    <w:rsid w:val="0079645F"/>
    <w:rsid w:val="007A62B9"/>
    <w:rsid w:val="007C7463"/>
    <w:rsid w:val="007D722E"/>
    <w:rsid w:val="007E5A82"/>
    <w:rsid w:val="007F1BF2"/>
    <w:rsid w:val="008358AC"/>
    <w:rsid w:val="00836C13"/>
    <w:rsid w:val="008371E6"/>
    <w:rsid w:val="0085446C"/>
    <w:rsid w:val="0085672F"/>
    <w:rsid w:val="0088338E"/>
    <w:rsid w:val="008856EF"/>
    <w:rsid w:val="008934B8"/>
    <w:rsid w:val="008947E9"/>
    <w:rsid w:val="008A4F8A"/>
    <w:rsid w:val="008B129A"/>
    <w:rsid w:val="008D30C9"/>
    <w:rsid w:val="008D7A91"/>
    <w:rsid w:val="008E2DE3"/>
    <w:rsid w:val="0093486C"/>
    <w:rsid w:val="0094410C"/>
    <w:rsid w:val="009527F2"/>
    <w:rsid w:val="00957957"/>
    <w:rsid w:val="00961C81"/>
    <w:rsid w:val="00983965"/>
    <w:rsid w:val="009842B2"/>
    <w:rsid w:val="00984F21"/>
    <w:rsid w:val="00985272"/>
    <w:rsid w:val="009A589A"/>
    <w:rsid w:val="009C4482"/>
    <w:rsid w:val="009D2267"/>
    <w:rsid w:val="009D7CA6"/>
    <w:rsid w:val="009F4C3E"/>
    <w:rsid w:val="009F55D8"/>
    <w:rsid w:val="009F5AD9"/>
    <w:rsid w:val="00A01E77"/>
    <w:rsid w:val="00A034C1"/>
    <w:rsid w:val="00A1068D"/>
    <w:rsid w:val="00A106FA"/>
    <w:rsid w:val="00A13E65"/>
    <w:rsid w:val="00A15425"/>
    <w:rsid w:val="00A224D0"/>
    <w:rsid w:val="00A43CF8"/>
    <w:rsid w:val="00A4577A"/>
    <w:rsid w:val="00A54904"/>
    <w:rsid w:val="00A56AC6"/>
    <w:rsid w:val="00A62DC2"/>
    <w:rsid w:val="00A81516"/>
    <w:rsid w:val="00A8188F"/>
    <w:rsid w:val="00AC0D0E"/>
    <w:rsid w:val="00AE437B"/>
    <w:rsid w:val="00AE5106"/>
    <w:rsid w:val="00B037BF"/>
    <w:rsid w:val="00B12EC5"/>
    <w:rsid w:val="00B14841"/>
    <w:rsid w:val="00B14D93"/>
    <w:rsid w:val="00B272B6"/>
    <w:rsid w:val="00B32EBA"/>
    <w:rsid w:val="00B50D0B"/>
    <w:rsid w:val="00B511AD"/>
    <w:rsid w:val="00B70105"/>
    <w:rsid w:val="00B7065D"/>
    <w:rsid w:val="00B70EC5"/>
    <w:rsid w:val="00B820B5"/>
    <w:rsid w:val="00BA7D69"/>
    <w:rsid w:val="00BB782D"/>
    <w:rsid w:val="00BE14FF"/>
    <w:rsid w:val="00BE33D9"/>
    <w:rsid w:val="00BE3AC5"/>
    <w:rsid w:val="00C0168F"/>
    <w:rsid w:val="00C043BB"/>
    <w:rsid w:val="00C04861"/>
    <w:rsid w:val="00C068F5"/>
    <w:rsid w:val="00C2777B"/>
    <w:rsid w:val="00C42FD4"/>
    <w:rsid w:val="00C43522"/>
    <w:rsid w:val="00C51764"/>
    <w:rsid w:val="00C607AD"/>
    <w:rsid w:val="00C723DC"/>
    <w:rsid w:val="00C85ABF"/>
    <w:rsid w:val="00C9449C"/>
    <w:rsid w:val="00C94756"/>
    <w:rsid w:val="00CB1A3E"/>
    <w:rsid w:val="00CC27BB"/>
    <w:rsid w:val="00CE27B5"/>
    <w:rsid w:val="00D143D1"/>
    <w:rsid w:val="00D1549F"/>
    <w:rsid w:val="00D16B0A"/>
    <w:rsid w:val="00D25117"/>
    <w:rsid w:val="00D379D3"/>
    <w:rsid w:val="00D60C50"/>
    <w:rsid w:val="00D700F4"/>
    <w:rsid w:val="00D72AE4"/>
    <w:rsid w:val="00D74177"/>
    <w:rsid w:val="00D81813"/>
    <w:rsid w:val="00D9054A"/>
    <w:rsid w:val="00D91643"/>
    <w:rsid w:val="00D9261A"/>
    <w:rsid w:val="00D95FBC"/>
    <w:rsid w:val="00DA4385"/>
    <w:rsid w:val="00DB0584"/>
    <w:rsid w:val="00DB1DB7"/>
    <w:rsid w:val="00DB281F"/>
    <w:rsid w:val="00DC113C"/>
    <w:rsid w:val="00DD2EAA"/>
    <w:rsid w:val="00DD43E1"/>
    <w:rsid w:val="00DD6C18"/>
    <w:rsid w:val="00DD7075"/>
    <w:rsid w:val="00DF0B3D"/>
    <w:rsid w:val="00DF571A"/>
    <w:rsid w:val="00E038FB"/>
    <w:rsid w:val="00E05580"/>
    <w:rsid w:val="00E10682"/>
    <w:rsid w:val="00E2358F"/>
    <w:rsid w:val="00E31D56"/>
    <w:rsid w:val="00E40DEC"/>
    <w:rsid w:val="00E51C56"/>
    <w:rsid w:val="00E532C3"/>
    <w:rsid w:val="00E6106D"/>
    <w:rsid w:val="00E634E3"/>
    <w:rsid w:val="00E81C8B"/>
    <w:rsid w:val="00E974E3"/>
    <w:rsid w:val="00EA050E"/>
    <w:rsid w:val="00EA36F6"/>
    <w:rsid w:val="00EB1DDB"/>
    <w:rsid w:val="00EB337C"/>
    <w:rsid w:val="00EC5A17"/>
    <w:rsid w:val="00ED11D7"/>
    <w:rsid w:val="00ED3BC4"/>
    <w:rsid w:val="00EE4756"/>
    <w:rsid w:val="00EF403A"/>
    <w:rsid w:val="00F03449"/>
    <w:rsid w:val="00F066D0"/>
    <w:rsid w:val="00F31B85"/>
    <w:rsid w:val="00F3467E"/>
    <w:rsid w:val="00F533CD"/>
    <w:rsid w:val="00F61FF2"/>
    <w:rsid w:val="00F77858"/>
    <w:rsid w:val="00F85769"/>
    <w:rsid w:val="00F95E54"/>
    <w:rsid w:val="00FC012E"/>
    <w:rsid w:val="00FC4611"/>
    <w:rsid w:val="00FD0FF7"/>
    <w:rsid w:val="00FE5C4A"/>
    <w:rsid w:val="00FE69B1"/>
    <w:rsid w:val="00FF5A43"/>
    <w:rsid w:val="015B26F9"/>
    <w:rsid w:val="019A6EAF"/>
    <w:rsid w:val="01C3592A"/>
    <w:rsid w:val="02917A01"/>
    <w:rsid w:val="02BA3EFD"/>
    <w:rsid w:val="0396439F"/>
    <w:rsid w:val="03C94458"/>
    <w:rsid w:val="03EC64D0"/>
    <w:rsid w:val="04036024"/>
    <w:rsid w:val="046559DA"/>
    <w:rsid w:val="046F5FAD"/>
    <w:rsid w:val="04BE136B"/>
    <w:rsid w:val="05695CFD"/>
    <w:rsid w:val="05D65BFA"/>
    <w:rsid w:val="05F05D23"/>
    <w:rsid w:val="05F23DF7"/>
    <w:rsid w:val="06501CF5"/>
    <w:rsid w:val="06A27ECB"/>
    <w:rsid w:val="06DA651C"/>
    <w:rsid w:val="071D7301"/>
    <w:rsid w:val="073D401E"/>
    <w:rsid w:val="074B0C3D"/>
    <w:rsid w:val="07656652"/>
    <w:rsid w:val="07A13783"/>
    <w:rsid w:val="08114451"/>
    <w:rsid w:val="08223C1D"/>
    <w:rsid w:val="0857273B"/>
    <w:rsid w:val="08894CBD"/>
    <w:rsid w:val="08964D36"/>
    <w:rsid w:val="0896604F"/>
    <w:rsid w:val="08A3063C"/>
    <w:rsid w:val="08ED7927"/>
    <w:rsid w:val="097416B0"/>
    <w:rsid w:val="09BD576B"/>
    <w:rsid w:val="0A713B5A"/>
    <w:rsid w:val="0B3D7B9A"/>
    <w:rsid w:val="0B677574"/>
    <w:rsid w:val="0BF132A6"/>
    <w:rsid w:val="0C06139C"/>
    <w:rsid w:val="0CE26918"/>
    <w:rsid w:val="0D3E0380"/>
    <w:rsid w:val="0D9D6668"/>
    <w:rsid w:val="0E19674E"/>
    <w:rsid w:val="0EF71268"/>
    <w:rsid w:val="0F09793C"/>
    <w:rsid w:val="0F0F56A9"/>
    <w:rsid w:val="0F6A2512"/>
    <w:rsid w:val="0F6E7CEA"/>
    <w:rsid w:val="12433967"/>
    <w:rsid w:val="126A29DB"/>
    <w:rsid w:val="129C6A29"/>
    <w:rsid w:val="131973CD"/>
    <w:rsid w:val="134E7119"/>
    <w:rsid w:val="13F4453B"/>
    <w:rsid w:val="1478648C"/>
    <w:rsid w:val="14D40975"/>
    <w:rsid w:val="15261A98"/>
    <w:rsid w:val="16251987"/>
    <w:rsid w:val="163814FD"/>
    <w:rsid w:val="16D33FDC"/>
    <w:rsid w:val="16FD3F16"/>
    <w:rsid w:val="175457CC"/>
    <w:rsid w:val="17995EF9"/>
    <w:rsid w:val="19857B20"/>
    <w:rsid w:val="1B996535"/>
    <w:rsid w:val="1BA14EB4"/>
    <w:rsid w:val="1C121142"/>
    <w:rsid w:val="1C854C2A"/>
    <w:rsid w:val="1CC828EA"/>
    <w:rsid w:val="1CE349AD"/>
    <w:rsid w:val="1DAE2C8C"/>
    <w:rsid w:val="1E2D5754"/>
    <w:rsid w:val="1E3845A0"/>
    <w:rsid w:val="1EFB4414"/>
    <w:rsid w:val="1F562D16"/>
    <w:rsid w:val="1F5653A8"/>
    <w:rsid w:val="1FCD2A10"/>
    <w:rsid w:val="1FEA77EA"/>
    <w:rsid w:val="20C124AD"/>
    <w:rsid w:val="21B824D3"/>
    <w:rsid w:val="22D1750C"/>
    <w:rsid w:val="249F6F6A"/>
    <w:rsid w:val="24C440E4"/>
    <w:rsid w:val="24F536AF"/>
    <w:rsid w:val="25BD3D84"/>
    <w:rsid w:val="25F55257"/>
    <w:rsid w:val="26226166"/>
    <w:rsid w:val="269B7B54"/>
    <w:rsid w:val="271F52BE"/>
    <w:rsid w:val="274C55C7"/>
    <w:rsid w:val="27701C2D"/>
    <w:rsid w:val="279E1A57"/>
    <w:rsid w:val="287D3472"/>
    <w:rsid w:val="28DB4B88"/>
    <w:rsid w:val="28EA5BA2"/>
    <w:rsid w:val="298D1C2B"/>
    <w:rsid w:val="2A570BDD"/>
    <w:rsid w:val="2A802BC2"/>
    <w:rsid w:val="2A994270"/>
    <w:rsid w:val="2B2302D5"/>
    <w:rsid w:val="2B273B5F"/>
    <w:rsid w:val="2C0B5B1B"/>
    <w:rsid w:val="2CB509E0"/>
    <w:rsid w:val="2D104C6C"/>
    <w:rsid w:val="2D2F2FAF"/>
    <w:rsid w:val="2D843EED"/>
    <w:rsid w:val="2DB848DF"/>
    <w:rsid w:val="2DDE010C"/>
    <w:rsid w:val="2E9C1472"/>
    <w:rsid w:val="2F58712F"/>
    <w:rsid w:val="2F9B5627"/>
    <w:rsid w:val="2FEC527A"/>
    <w:rsid w:val="3101792B"/>
    <w:rsid w:val="312775CE"/>
    <w:rsid w:val="319E270D"/>
    <w:rsid w:val="324E1086"/>
    <w:rsid w:val="324F1D6A"/>
    <w:rsid w:val="32A369E2"/>
    <w:rsid w:val="32AA1C64"/>
    <w:rsid w:val="32EC0833"/>
    <w:rsid w:val="343869BD"/>
    <w:rsid w:val="34EF3A00"/>
    <w:rsid w:val="350756B0"/>
    <w:rsid w:val="355D0C35"/>
    <w:rsid w:val="35747790"/>
    <w:rsid w:val="360E6362"/>
    <w:rsid w:val="363B6489"/>
    <w:rsid w:val="372F5E2D"/>
    <w:rsid w:val="374E7399"/>
    <w:rsid w:val="37E13962"/>
    <w:rsid w:val="381671C1"/>
    <w:rsid w:val="382D2DE9"/>
    <w:rsid w:val="38484326"/>
    <w:rsid w:val="385C154C"/>
    <w:rsid w:val="39B338D4"/>
    <w:rsid w:val="39CC602C"/>
    <w:rsid w:val="3A2C7A74"/>
    <w:rsid w:val="3A466291"/>
    <w:rsid w:val="3AE86956"/>
    <w:rsid w:val="3BCC0BE6"/>
    <w:rsid w:val="3CB06E58"/>
    <w:rsid w:val="3D172830"/>
    <w:rsid w:val="3D22371B"/>
    <w:rsid w:val="3DC662A0"/>
    <w:rsid w:val="3EC32FC4"/>
    <w:rsid w:val="3FCA0A3A"/>
    <w:rsid w:val="405678A5"/>
    <w:rsid w:val="40CE70A7"/>
    <w:rsid w:val="41566AE0"/>
    <w:rsid w:val="42B0010D"/>
    <w:rsid w:val="43240232"/>
    <w:rsid w:val="43272F7A"/>
    <w:rsid w:val="43911EEB"/>
    <w:rsid w:val="44F41F54"/>
    <w:rsid w:val="44F715CF"/>
    <w:rsid w:val="464447C4"/>
    <w:rsid w:val="46AF1428"/>
    <w:rsid w:val="46BE27CF"/>
    <w:rsid w:val="46CE371E"/>
    <w:rsid w:val="46EE10E2"/>
    <w:rsid w:val="473367FE"/>
    <w:rsid w:val="47452D65"/>
    <w:rsid w:val="47F70D6F"/>
    <w:rsid w:val="48C367FF"/>
    <w:rsid w:val="492B471A"/>
    <w:rsid w:val="49354632"/>
    <w:rsid w:val="49EA3AEA"/>
    <w:rsid w:val="4A114A61"/>
    <w:rsid w:val="4A3C5DAD"/>
    <w:rsid w:val="4B1131FF"/>
    <w:rsid w:val="4B1971A3"/>
    <w:rsid w:val="4B2070C9"/>
    <w:rsid w:val="4B28675E"/>
    <w:rsid w:val="4C8C18BF"/>
    <w:rsid w:val="4D6272FA"/>
    <w:rsid w:val="4E2B21CB"/>
    <w:rsid w:val="4E455DE5"/>
    <w:rsid w:val="4E5E676C"/>
    <w:rsid w:val="4E634927"/>
    <w:rsid w:val="4F2A7C61"/>
    <w:rsid w:val="4F7F4BB3"/>
    <w:rsid w:val="50555275"/>
    <w:rsid w:val="52A22C93"/>
    <w:rsid w:val="53CC2A81"/>
    <w:rsid w:val="53DE5623"/>
    <w:rsid w:val="53F80CEF"/>
    <w:rsid w:val="543E21DD"/>
    <w:rsid w:val="54503C8E"/>
    <w:rsid w:val="54676B54"/>
    <w:rsid w:val="547F0B48"/>
    <w:rsid w:val="5486051D"/>
    <w:rsid w:val="54B61452"/>
    <w:rsid w:val="54FA2197"/>
    <w:rsid w:val="554D3725"/>
    <w:rsid w:val="55A4134A"/>
    <w:rsid w:val="566E723B"/>
    <w:rsid w:val="571B306D"/>
    <w:rsid w:val="576F070F"/>
    <w:rsid w:val="58143BC2"/>
    <w:rsid w:val="58225F17"/>
    <w:rsid w:val="58E06125"/>
    <w:rsid w:val="59374E50"/>
    <w:rsid w:val="593C4BC4"/>
    <w:rsid w:val="5A6D1916"/>
    <w:rsid w:val="5ABA07B5"/>
    <w:rsid w:val="5BAC08C4"/>
    <w:rsid w:val="5C3F4221"/>
    <w:rsid w:val="5C486442"/>
    <w:rsid w:val="5CB53218"/>
    <w:rsid w:val="5D6B74FD"/>
    <w:rsid w:val="5D8E5F23"/>
    <w:rsid w:val="5E523CF7"/>
    <w:rsid w:val="5ED062D2"/>
    <w:rsid w:val="5FB46F66"/>
    <w:rsid w:val="60453086"/>
    <w:rsid w:val="60541A6A"/>
    <w:rsid w:val="60730CBD"/>
    <w:rsid w:val="62390469"/>
    <w:rsid w:val="63210B42"/>
    <w:rsid w:val="63920535"/>
    <w:rsid w:val="63E773C8"/>
    <w:rsid w:val="64426B0C"/>
    <w:rsid w:val="6608354D"/>
    <w:rsid w:val="673565FE"/>
    <w:rsid w:val="675D18FA"/>
    <w:rsid w:val="67E34358"/>
    <w:rsid w:val="686F2DB3"/>
    <w:rsid w:val="698B285B"/>
    <w:rsid w:val="69FB3DEF"/>
    <w:rsid w:val="6A371998"/>
    <w:rsid w:val="6B0A1F31"/>
    <w:rsid w:val="6B297EAA"/>
    <w:rsid w:val="6B3D070D"/>
    <w:rsid w:val="6C125B34"/>
    <w:rsid w:val="6C4A67F6"/>
    <w:rsid w:val="6DC557E3"/>
    <w:rsid w:val="6DD776D5"/>
    <w:rsid w:val="6E5A0EEA"/>
    <w:rsid w:val="6F1C7C5A"/>
    <w:rsid w:val="6F2C63CF"/>
    <w:rsid w:val="6F986C37"/>
    <w:rsid w:val="6FC34725"/>
    <w:rsid w:val="6FE717CD"/>
    <w:rsid w:val="70185A84"/>
    <w:rsid w:val="7078050D"/>
    <w:rsid w:val="70795022"/>
    <w:rsid w:val="712728CB"/>
    <w:rsid w:val="71564BEB"/>
    <w:rsid w:val="71CE3C8C"/>
    <w:rsid w:val="72401A80"/>
    <w:rsid w:val="725C4DBE"/>
    <w:rsid w:val="72B1626F"/>
    <w:rsid w:val="72C523DC"/>
    <w:rsid w:val="74150291"/>
    <w:rsid w:val="742609D9"/>
    <w:rsid w:val="74B353AE"/>
    <w:rsid w:val="752929BE"/>
    <w:rsid w:val="75A145C5"/>
    <w:rsid w:val="75D64E31"/>
    <w:rsid w:val="76127DEB"/>
    <w:rsid w:val="76A76F13"/>
    <w:rsid w:val="77E43019"/>
    <w:rsid w:val="78B926ED"/>
    <w:rsid w:val="78D95A65"/>
    <w:rsid w:val="79DC7DF7"/>
    <w:rsid w:val="7A503B73"/>
    <w:rsid w:val="7C026232"/>
    <w:rsid w:val="7C0D1644"/>
    <w:rsid w:val="7D0C2E56"/>
    <w:rsid w:val="7DAB1CAD"/>
    <w:rsid w:val="7E03425E"/>
    <w:rsid w:val="7E1B38A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iPriority="0" w:name="annotation text" w:locked="1"/>
    <w:lsdException w:qFormat="1" w:unhideWhenUsed="0" w:uiPriority="99" w:semiHidden="0" w:name="header"/>
    <w:lsdException w:qFormat="1"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qFormat="1" w:uiPriority="0" w:semiHidden="0" w:name="annotation reference" w:locked="1"/>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uiPriority="1" w:name="Default Paragraph Font"/>
    <w:lsdException w:qFormat="1" w:unhideWhenUsed="0" w:uiPriority="0" w:semiHidden="0" w:name="Body Text" w:locked="1"/>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qFormat="1" w:unhideWhenUsed="0" w:uiPriority="99" w:semiHidden="0" w:name="Body Text Indent 2"/>
    <w:lsdException w:qFormat="1" w:unhideWhenUsed="0" w:uiPriority="99" w:semiHidden="0" w:name="Body Text Indent 3"/>
    <w:lsdException w:uiPriority="0" w:name="Block Text" w:locked="1"/>
    <w:lsdException w:uiPriority="0" w:name="Hyperlink" w:locked="1"/>
    <w:lsdException w:uiPriority="0" w:name="FollowedHyperlink" w:locked="1"/>
    <w:lsdException w:qFormat="1" w:unhideWhenUsed="0" w:uiPriority="22" w:semiHidden="0" w:name="Strong" w:locked="1"/>
    <w:lsdException w:qFormat="1" w:unhideWhenUsed="0" w:uiPriority="20" w:semiHidden="0" w:name="Emphasis" w:locked="1"/>
    <w:lsdException w:uiPriority="0" w:name="Document Map" w:locked="1"/>
    <w:lsdException w:uiPriority="0" w:name="Plain Text" w:locked="1"/>
    <w:lsdException w:uiPriority="0" w:name="E-mail Signature" w:locked="1"/>
    <w:lsdException w:qFormat="1" w:uiPriority="0" w:semiHidden="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uiPriority="0" w:name="annotation subject" w:locked="1"/>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0" w:name="Balloon Text" w:locked="1"/>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locked/>
    <w:uiPriority w:val="0"/>
    <w:pPr>
      <w:keepNext/>
      <w:keepLines/>
      <w:numPr>
        <w:ilvl w:val="0"/>
        <w:numId w:val="1"/>
      </w:numPr>
      <w:spacing w:before="200" w:beforeLines="200" w:after="100" w:afterLines="100" w:line="520" w:lineRule="exact"/>
      <w:jc w:val="center"/>
      <w:outlineLvl w:val="0"/>
    </w:pPr>
    <w:rPr>
      <w:rFonts w:eastAsia="黑体"/>
      <w:color w:val="000000"/>
      <w:sz w:val="32"/>
    </w:rPr>
  </w:style>
  <w:style w:type="character" w:default="1" w:styleId="10">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locked/>
    <w:uiPriority w:val="0"/>
    <w:pPr>
      <w:spacing w:after="120"/>
    </w:pPr>
  </w:style>
  <w:style w:type="paragraph" w:styleId="4">
    <w:name w:val="Body Text Indent"/>
    <w:basedOn w:val="1"/>
    <w:link w:val="15"/>
    <w:qFormat/>
    <w:uiPriority w:val="99"/>
    <w:pPr>
      <w:spacing w:after="120"/>
      <w:ind w:left="420" w:leftChars="200"/>
    </w:pPr>
  </w:style>
  <w:style w:type="paragraph" w:styleId="5">
    <w:name w:val="Body Text Indent 2"/>
    <w:basedOn w:val="1"/>
    <w:link w:val="16"/>
    <w:qFormat/>
    <w:uiPriority w:val="99"/>
    <w:pPr>
      <w:spacing w:line="700" w:lineRule="exact"/>
      <w:ind w:firstLine="672"/>
    </w:pPr>
    <w:rPr>
      <w:sz w:val="2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19"/>
    <w:qFormat/>
    <w:uiPriority w:val="99"/>
    <w:pPr>
      <w:spacing w:after="120"/>
      <w:ind w:left="420" w:leftChars="200"/>
    </w:pPr>
    <w:rPr>
      <w:sz w:val="16"/>
      <w:szCs w:val="16"/>
    </w:rPr>
  </w:style>
  <w:style w:type="paragraph" w:styleId="9">
    <w:name w:val="Normal (Web)"/>
    <w:basedOn w:val="1"/>
    <w:unhideWhenUsed/>
    <w:qFormat/>
    <w:locked/>
    <w:uiPriority w:val="0"/>
    <w:rPr>
      <w:sz w:val="24"/>
    </w:rPr>
  </w:style>
  <w:style w:type="character" w:styleId="11">
    <w:name w:val="page number"/>
    <w:basedOn w:val="10"/>
    <w:qFormat/>
    <w:uiPriority w:val="99"/>
    <w:rPr>
      <w:rFonts w:cs="Times New Roman"/>
    </w:rPr>
  </w:style>
  <w:style w:type="character" w:styleId="12">
    <w:name w:val="annotation reference"/>
    <w:basedOn w:val="10"/>
    <w:unhideWhenUsed/>
    <w:qFormat/>
    <w:locked/>
    <w:uiPriority w:val="0"/>
    <w:rPr>
      <w:sz w:val="21"/>
      <w:szCs w:val="21"/>
    </w:rPr>
  </w:style>
  <w:style w:type="paragraph" w:customStyle="1" w:styleId="14">
    <w:name w:val="p0"/>
    <w:basedOn w:val="1"/>
    <w:qFormat/>
    <w:uiPriority w:val="99"/>
    <w:pPr>
      <w:widowControl/>
    </w:pPr>
    <w:rPr>
      <w:kern w:val="0"/>
      <w:szCs w:val="21"/>
    </w:rPr>
  </w:style>
  <w:style w:type="character" w:customStyle="1" w:styleId="15">
    <w:name w:val="正文文本缩进 Char"/>
    <w:basedOn w:val="10"/>
    <w:link w:val="4"/>
    <w:semiHidden/>
    <w:qFormat/>
    <w:locked/>
    <w:uiPriority w:val="99"/>
    <w:rPr>
      <w:rFonts w:cs="Times New Roman"/>
      <w:sz w:val="20"/>
      <w:szCs w:val="20"/>
    </w:rPr>
  </w:style>
  <w:style w:type="character" w:customStyle="1" w:styleId="16">
    <w:name w:val="正文文本缩进 2 Char"/>
    <w:basedOn w:val="10"/>
    <w:link w:val="5"/>
    <w:semiHidden/>
    <w:qFormat/>
    <w:locked/>
    <w:uiPriority w:val="99"/>
    <w:rPr>
      <w:rFonts w:cs="Times New Roman"/>
      <w:sz w:val="20"/>
      <w:szCs w:val="20"/>
    </w:rPr>
  </w:style>
  <w:style w:type="character" w:customStyle="1" w:styleId="17">
    <w:name w:val="页脚 Char"/>
    <w:basedOn w:val="10"/>
    <w:link w:val="6"/>
    <w:semiHidden/>
    <w:qFormat/>
    <w:locked/>
    <w:uiPriority w:val="99"/>
    <w:rPr>
      <w:rFonts w:cs="Times New Roman"/>
      <w:sz w:val="18"/>
      <w:szCs w:val="18"/>
    </w:rPr>
  </w:style>
  <w:style w:type="character" w:customStyle="1" w:styleId="18">
    <w:name w:val="页眉 Char"/>
    <w:basedOn w:val="10"/>
    <w:link w:val="7"/>
    <w:semiHidden/>
    <w:qFormat/>
    <w:locked/>
    <w:uiPriority w:val="99"/>
    <w:rPr>
      <w:rFonts w:cs="Times New Roman"/>
      <w:sz w:val="18"/>
      <w:szCs w:val="18"/>
    </w:rPr>
  </w:style>
  <w:style w:type="character" w:customStyle="1" w:styleId="19">
    <w:name w:val="正文文本缩进 3 Char"/>
    <w:basedOn w:val="10"/>
    <w:link w:val="8"/>
    <w:semiHidden/>
    <w:qFormat/>
    <w:locked/>
    <w:uiPriority w:val="99"/>
    <w:rPr>
      <w:rFonts w:cs="Times New Roman"/>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53A205-35B3-454D-AF58-FDF577BA9A14}">
  <ds:schemaRefs/>
</ds:datastoreItem>
</file>

<file path=docProps/app.xml><?xml version="1.0" encoding="utf-8"?>
<Properties xmlns="http://schemas.openxmlformats.org/officeDocument/2006/extended-properties" xmlns:vt="http://schemas.openxmlformats.org/officeDocument/2006/docPropsVTypes">
  <Template>Normal</Template>
  <Company>环保局</Company>
  <Pages>2</Pages>
  <Words>174</Words>
  <Characters>994</Characters>
  <Lines>8</Lines>
  <Paragraphs>2</Paragraphs>
  <TotalTime>4</TotalTime>
  <ScaleCrop>false</ScaleCrop>
  <LinksUpToDate>false</LinksUpToDate>
  <CharactersWithSpaces>1166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2021-07-16T03:07:00Z</dcterms:created>
  <dc:creator>王丽云</dc:creator>
  <cp:lastModifiedBy>Administrator</cp:lastModifiedBy>
  <cp:lastPrinted>2021-07-08T01:41:00Z</cp:lastPrinted>
  <dcterms:modified xsi:type="dcterms:W3CDTF">2022-09-27T01:47:20Z</dcterms:modified>
  <dc:title>建设项目审批呈报表</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