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  <w:t>关于加强2023年春节期间烟</w:t>
      </w: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en-US" w:eastAsia="zh-CN" w:bidi="ar-SA"/>
        </w:rPr>
        <w:t>花</w:t>
      </w: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  <w:t>爆竹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  <w:t>安全管理的通告（</w:t>
      </w: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en-US" w:eastAsia="zh-CN" w:bidi="ar-SA"/>
        </w:rPr>
        <w:t>征集意见稿</w:t>
      </w: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  <w:t>）</w:t>
      </w:r>
    </w:p>
    <w:p>
      <w:pPr>
        <w:pStyle w:val="7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为加强2023年春节期间烟花爆竹安全管理工作,减少大气环境污染,保障公共安全和群</w:t>
      </w:r>
      <w:bookmarkStart w:id="0" w:name="_GoBack"/>
      <w:bookmarkEnd w:id="0"/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众人身、财产安全,确保春节期间烟花爆竹安全形势稳定,根据《烟花爆竹安全管理条例》   (国务院令第455号)等法律法规,现就进一步做好我2023年春节期间烟花爆竹安全管理有关工作通告如下: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Calibri" w:eastAsia="黑体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Times New Roman"/>
          <w:snapToGrid/>
          <w:color w:val="auto"/>
          <w:kern w:val="2"/>
          <w:sz w:val="32"/>
          <w:szCs w:val="32"/>
          <w:lang w:val="en-US" w:eastAsia="zh-CN" w:bidi="ar-SA"/>
        </w:rPr>
        <w:t>一、燃放时间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(一)1月21日(除夕)早7时至1月22日(正月初一) 凌晨1时;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(二)1月22日( 正月初一)至1月26日(正月初五)每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日早7时至23时;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(三)2月5日(正月十五)早7时至23时。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重污染天气期间和上述规定以外的时间禁止燃放烟花爆竹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Calibri" w:eastAsia="黑体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alibri" w:eastAsia="黑体" w:cs="Times New Roman"/>
          <w:snapToGrid/>
          <w:color w:val="auto"/>
          <w:kern w:val="2"/>
          <w:sz w:val="32"/>
          <w:szCs w:val="32"/>
          <w:lang w:val="en-US" w:eastAsia="zh-CN" w:bidi="ar-SA"/>
        </w:rPr>
        <w:t>二、燃放区域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在新郑市区域内的下列场所以外可以燃放烟花爆竹</w:t>
      </w: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(一)国家机关驻地;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(二)易燃易爆物品生产、经营、储存单位;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(三)重要军事设施;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(四)文物保护单位;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(五)学校、幼儿园、医院、敬老院、疗养院;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(六)商场、集贸市场、公共文化设施、宗教活动场所等人员密集场所;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(七)车站(含火车站广场)、铁路沿线安全保护区内、高架路、过街天桥、桥梁、涵洞等交通枢纽地区;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(八)输变电、燃气、燃油等能源设施安全保护区内;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(九)使用易燃可燃外保温材料的高层建筑、耐火等级较低的建筑物;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(十)公园、绿地、景区、山林、苗圃、草原、湿地、水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right="0" w:rightChars="0"/>
        <w:jc w:val="left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源保护地等重点防火区;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(十一)市人民政府确定并公布的其他场所和区域。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禁止燃放烟花爆竹的场所及其周边具体范围,由有关单位设置明显的禁止燃放烟花爆竹警示标志。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不得在居民住宅楼楼道、阳台、窗台、楼顶燃放或向外抛掷烟花爆竹;不鼓励在小区内燃放,确需在小区内燃放,  要划定安全区域,由各乡镇(街道、管委会)统筹,社区、物业等单位预备管理人员、救援力量和消防器材,确保燃放安全。</w:t>
      </w:r>
    </w:p>
    <w:p>
      <w:pPr>
        <w:spacing w:before="1" w:line="181" w:lineRule="auto"/>
        <w:ind w:left="635"/>
        <w:rPr>
          <w:rFonts w:ascii="黑体" w:hAnsi="黑体" w:eastAsia="黑体" w:cs="黑体"/>
          <w:sz w:val="29"/>
          <w:szCs w:val="29"/>
        </w:rPr>
      </w:pPr>
      <w:r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  <w:t>三、禁止销售、燃放烟花爆竹的种类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(一)国家标准《烟花爆竹安全与质量》(GB10631-2013)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中的A级、B级烟花爆竹;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(二)拉炮、摔炮、砸炮等危险性大、含高敏感度药物的烟花爆竹;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(三)燃放时主体定向升空的烟花爆竹,如旋转类、双响炮等。</w:t>
      </w:r>
    </w:p>
    <w:p>
      <w:pPr>
        <w:spacing w:before="1" w:line="181" w:lineRule="auto"/>
        <w:ind w:left="635"/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  <w:t>四、燃放烟花爆竹应当遵守的规定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燃放时应当按照燃放说明正确、安全燃放,并遵守下列规定: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(一)不得向行人、车辆、建筑物、构筑物和人员密集场所投掷;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(二)不得对准或指向易燃易爆的物品燃放;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(三)不得有其他影响公共秩序、危及他人安全的行为;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(四)未成年人燃放烟花爆竹,应在其监护人或其他成年人指导下燃放。</w:t>
      </w:r>
    </w:p>
    <w:p>
      <w:pPr>
        <w:spacing w:before="1" w:line="181" w:lineRule="auto"/>
        <w:ind w:left="635"/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  <w:t>五、违规违法行为的处罚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对非法生产、运输、储存、销售和违规燃放烟花爆竹的依照《中华人民共和国治安管理处罚法》和国务院令第455号等有关法律法规进行处罚,构成犯罪的依法追究刑事责任。</w:t>
      </w:r>
    </w:p>
    <w:p>
      <w:pPr>
        <w:spacing w:line="589" w:lineRule="exact"/>
        <w:ind w:left="788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黑体" w:hAnsi="宋体" w:eastAsia="黑体" w:cs="宋体"/>
          <w:snapToGrid/>
          <w:color w:val="auto"/>
          <w:kern w:val="0"/>
          <w:sz w:val="32"/>
          <w:szCs w:val="32"/>
          <w:lang w:val="en-US" w:eastAsia="zh-CN" w:bidi="ar-SA"/>
        </w:rPr>
        <w:t>六、本通告自公布之日起施行。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auto"/>
          <w:kern w:val="0"/>
          <w:sz w:val="32"/>
          <w:szCs w:val="32"/>
          <w:lang w:val="en-US" w:eastAsia="zh-CN" w:bidi="ar-SA"/>
        </w:rPr>
        <w:t>特此通告</w:t>
      </w:r>
    </w:p>
    <w:p>
      <w:pPr>
        <w:pStyle w:val="2"/>
        <w:numPr>
          <w:numId w:val="0"/>
        </w:numPr>
        <w:ind w:firstLine="640" w:firstLineChars="200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numId w:val="0"/>
        </w:numPr>
        <w:ind w:firstLine="640" w:firstLineChars="200"/>
        <w:jc w:val="right"/>
        <w:rPr>
          <w:rFonts w:hint="eastAsia" w:ascii="楷体_GB2312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numId w:val="0"/>
        </w:numPr>
        <w:ind w:firstLine="640" w:firstLineChars="200"/>
        <w:jc w:val="right"/>
        <w:rPr>
          <w:rFonts w:hint="eastAsia" w:ascii="楷体_GB2312" w:hAnsi="Calibri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Times New Roman"/>
          <w:snapToGrid/>
          <w:color w:val="auto"/>
          <w:kern w:val="2"/>
          <w:sz w:val="32"/>
          <w:szCs w:val="32"/>
          <w:lang w:val="en-US" w:eastAsia="zh-CN" w:bidi="ar-SA"/>
        </w:rPr>
        <w:t>2023年1月18日</w:t>
      </w:r>
    </w:p>
    <w:p>
      <w:pPr>
        <w:pStyle w:val="2"/>
        <w:rPr>
          <w:rFonts w:hint="eastAsia" w:ascii="微软雅黑" w:hAnsi="微软雅黑" w:eastAsia="微软雅黑" w:cs="微软雅黑"/>
          <w:spacing w:val="17"/>
          <w:sz w:val="29"/>
          <w:szCs w:val="29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268"/>
      <w:jc w:val="right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4"/>
        <w:sz w:val="26"/>
        <w:szCs w:val="26"/>
      </w:rPr>
      <w:t xml:space="preserve">— </w:t>
    </w:r>
    <w:r>
      <w:rPr>
        <w:rFonts w:ascii="微软雅黑" w:hAnsi="微软雅黑" w:eastAsia="微软雅黑" w:cs="微软雅黑"/>
        <w:spacing w:val="2"/>
        <w:position w:val="4"/>
        <w:sz w:val="26"/>
        <w:szCs w:val="26"/>
      </w:rPr>
      <w:t xml:space="preserve">  </w:t>
    </w:r>
    <w:r>
      <w:rPr>
        <w:rFonts w:ascii="微软雅黑" w:hAnsi="微软雅黑" w:eastAsia="微软雅黑" w:cs="微软雅黑"/>
        <w:spacing w:val="2"/>
        <w:sz w:val="26"/>
        <w:szCs w:val="26"/>
      </w:rPr>
      <w:t xml:space="preserve">3  </w:t>
    </w:r>
    <w:r>
      <w:rPr>
        <w:rFonts w:ascii="微软雅黑" w:hAnsi="微软雅黑" w:eastAsia="微软雅黑" w:cs="微软雅黑"/>
        <w:spacing w:val="2"/>
        <w:position w:val="4"/>
        <w:sz w:val="26"/>
        <w:szCs w:val="26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77D6"/>
    <w:rsid w:val="4BE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6">
    <w:name w:val="Body Text"/>
    <w:basedOn w:val="1"/>
    <w:next w:val="7"/>
    <w:qFormat/>
    <w:uiPriority w:val="99"/>
    <w:rPr>
      <w:rFonts w:ascii="仿宋" w:hAnsi="仿宋" w:eastAsia="仿宋" w:cs="仿宋"/>
      <w:sz w:val="32"/>
      <w:szCs w:val="32"/>
      <w:lang w:val="zh-CN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2023-02-09T04:39:00Z</dcterms:created>
  <dc:creator>安静的坐等</dc:creator>
  <cp:lastModifiedBy>安静的坐等</cp:lastModifiedBy>
  <dcterms:modified xsi:type="dcterms:W3CDTF">2023-02-10T02:21:03Z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