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bookmarkStart w:id="0" w:name="_GoBack"/>
      <w:bookmarkEnd w:id="0"/>
      <w:r>
        <w:rPr>
          <w:rFonts w:hint="eastAsia" w:ascii="方正小标宋简体" w:eastAsia="方正小标宋简体"/>
          <w:sz w:val="44"/>
          <w:szCs w:val="44"/>
        </w:rPr>
        <w:t>新郑市“十四五”质量强市建设规划</w:t>
      </w:r>
    </w:p>
    <w:p>
      <w:pPr>
        <w:jc w:val="center"/>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征求意见</w:t>
      </w:r>
      <w:r>
        <w:rPr>
          <w:rFonts w:hint="eastAsia" w:ascii="仿宋" w:hAnsi="仿宋" w:eastAsia="仿宋" w:cs="仿宋"/>
          <w:sz w:val="32"/>
          <w:szCs w:val="32"/>
        </w:rPr>
        <w:t>稿)</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ascii="仿宋" w:hAnsi="仿宋" w:eastAsia="仿宋"/>
          <w:szCs w:val="21"/>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为深入贯彻党的十九大和十九届二中、三中、四中、五中全会精神，认真落实习近平总书记关于河南及郑州系列高质量发展重要讲话指示精神，大力推动质量强市建设，按照《中共中央国务院关于开展质量提升行动的指导意见》《河南省人民政府关于推动三个转变建设质量强省的实施意见》（豫政〔2015〕29 号）及《郑州市人民政府关于推动三个转变建设质量强市的实施意见》（郑政〔2015 〕49 号）工作要求，依据《新郑市国民经济和社会发展第十四个五年规划和二〇三五年远景目标纲要》（新政〔2021〕11号）制定了《新郑市“十四五”质量强市建设规划》。规划重点阐述了“十四五”期间全市质量发展工作的指导思想、基本原则、重点任务和保障措施，是指导未来五年全市质量发展工作的纲领性文件。</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“十三五”期间新郑市质量强市工作成效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楷体" w:hAnsi="楷体" w:eastAsia="楷体"/>
          <w:sz w:val="32"/>
          <w:szCs w:val="32"/>
        </w:rPr>
      </w:pPr>
      <w:r>
        <w:rPr>
          <w:rFonts w:hint="eastAsia" w:ascii="楷体" w:hAnsi="楷体" w:eastAsia="楷体"/>
          <w:sz w:val="32"/>
          <w:szCs w:val="32"/>
        </w:rPr>
        <w:t>（一）主要工作成绩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1.质量水平持续提升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全市生产领域重点工业产品合格率达98%，食品抽检合格率达98%，食用农产品质量安全监测合格率为98% ，畜禽产品质量安全监测合格率为98%;全市新开工受监工程质量监督率、工程建筑节能标准执行率、受监工程质量竣工验收合格率达 100%。群众质量满意度逐年提高。新郑连年在郑州市政府质量工作考核中被确定为</w:t>
      </w:r>
      <w:r>
        <w:rPr>
          <w:rFonts w:hint="eastAsia" w:ascii="仿宋" w:hAnsi="仿宋" w:eastAsia="仿宋"/>
          <w:color w:val="000000" w:themeColor="text1"/>
          <w:sz w:val="32"/>
          <w:szCs w:val="32"/>
          <w14:textFill>
            <w14:solidFill>
              <w14:schemeClr w14:val="tx1"/>
            </w14:solidFill>
          </w14:textFill>
        </w:rPr>
        <w:t>A</w:t>
      </w:r>
      <w:r>
        <w:rPr>
          <w:rFonts w:hint="eastAsia" w:ascii="仿宋" w:hAnsi="仿宋" w:eastAsia="仿宋"/>
          <w:sz w:val="32"/>
          <w:szCs w:val="32"/>
        </w:rPr>
        <w:t>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2.质量基础更加坚实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参与制（修）订国家标准3项、行业标准4项；各类检验检测机构达31家，市级以上工程技术研究中心73家，技术创新示范企业3家，市级企业技术中心34家；国家级服务业标准化示范单位1个，省级服务业标准化示范单位2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3.商标品牌量质齐升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中国商标金奖1家;省长质量奖获奖企业1家，郑州市市长质量奖获奖企业4家;地理标志商标1件，地理标志保护产品1 个;</w:t>
      </w:r>
      <w:r>
        <w:rPr>
          <w:rFonts w:hint="eastAsia"/>
        </w:rPr>
        <w:t xml:space="preserve"> </w:t>
      </w:r>
      <w:r>
        <w:rPr>
          <w:rFonts w:hint="eastAsia" w:ascii="仿宋" w:hAnsi="仿宋" w:eastAsia="仿宋"/>
          <w:sz w:val="32"/>
          <w:szCs w:val="32"/>
        </w:rPr>
        <w:t>累计认证“三品一标”农产品35个。绿色食品34个，农产品地理标志1个；4A级景区3个，3A级景区3个，星级酒店10家。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4.质量安全形势稳定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开展质量问题产品专项整治和区域集中整治，每年开展对重点行业、重点产品、重点工程、重点地区和重点市场的专项执法整治，建立商品生产、流通、销售全链条监管机制。深入开展执法打假“百日行动”、知识产权执法维权“护航”、文化广电和旅游市场专项整治等质量安全专项行动， 全市未发生重大产品、工程、服务质量安全责任事故。已成功创建省级农产品质量安全县(市)。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 w:hAnsi="楷体" w:eastAsia="楷体"/>
          <w:sz w:val="32"/>
          <w:szCs w:val="32"/>
        </w:rPr>
      </w:pPr>
      <w:r>
        <w:rPr>
          <w:rFonts w:hint="eastAsia" w:ascii="楷体" w:hAnsi="楷体" w:eastAsia="楷体"/>
          <w:sz w:val="32"/>
          <w:szCs w:val="32"/>
        </w:rPr>
        <w:t>（二）工作经验与特色工作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1.突出顶层设计，健全质量机制。新郑历届市委政府都高度重视质量工作，始终将质量强市建设作为“一把手工程”，强化政府推动，成立以市长任组长的质量强市领导小组，建立联席会议制度，构建市委市政府牵总、职能部门各负其责、企业落实主体责任的三级联动机制，高效推动质量强市工作；强化政策带动，先后出台《加快制造业高质量发展“1+N”政策体系》《开展质量提升行动实施意见》等政策文件，从技术改造补贴、创新创业奖励、品牌培育等方面，全方位支持企业开展质量创新。强化奖励驱动，对获得省长质量奖、郑州市市长质量奖企业，新郑市在上级奖补基础上再分别奖励50万元、40万元，同时每年列支专项经费30万元，全力保障质量工作，奖励力度居郑州市前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2.突出产业引领，打造质量品牌。坚持将产业高质量作为推动县域经济高质量发展的重要抓手，结合新郑区位、产业基础，先后招引华润雪花、光明乳业等众多知名企业落户发展，培育好想你枣业、润弘制药、遂成药业等一大批本土品牌企业成长壮大，全市有效注册商标数6457件，总量居全省县市首位，新港产业集聚区被确定为全省产业集群商标品牌培育基地，好想你成为全省唯一荣获中国商标金奖的企业，新郑大枣被批准为国家地理标志保护产品；拥有好想你等省长质量奖企业2家、遂成药业等郑州市市长质量奖企业4家、雪麦龙</w:t>
      </w:r>
      <w:r>
        <w:rPr>
          <w:rFonts w:hint="eastAsia" w:ascii="仿宋" w:hAnsi="仿宋" w:eastAsia="仿宋"/>
          <w:color w:val="000000" w:themeColor="text1"/>
          <w:sz w:val="32"/>
          <w:szCs w:val="32"/>
          <w14:textFill>
            <w14:solidFill>
              <w14:schemeClr w14:val="tx1"/>
            </w14:solidFill>
          </w14:textFill>
        </w:rPr>
        <w:t>食品等新郑市市长质量奖企业</w:t>
      </w:r>
      <w:r>
        <w:rPr>
          <w:rFonts w:hint="eastAsia" w:ascii="仿宋" w:hAnsi="仿宋" w:eastAsia="仿宋"/>
          <w:color w:val="000000" w:themeColor="text1"/>
          <w:sz w:val="32"/>
          <w:szCs w:val="32"/>
          <w:lang w:val="en-US" w:eastAsia="zh-CN"/>
          <w14:textFill>
            <w14:solidFill>
              <w14:schemeClr w14:val="tx1"/>
            </w14:solidFill>
          </w14:textFill>
        </w:rPr>
        <w:t>32</w:t>
      </w:r>
      <w:r>
        <w:rPr>
          <w:rFonts w:hint="eastAsia" w:ascii="仿宋" w:hAnsi="仿宋" w:eastAsia="仿宋"/>
          <w:color w:val="000000" w:themeColor="text1"/>
          <w:sz w:val="32"/>
          <w:szCs w:val="32"/>
          <w14:textFill>
            <w14:solidFill>
              <w14:schemeClr w14:val="tx1"/>
            </w14:solidFill>
          </w14:textFill>
        </w:rPr>
        <w:t>家，各级质量</w:t>
      </w:r>
      <w:r>
        <w:rPr>
          <w:rFonts w:hint="eastAsia" w:ascii="仿宋" w:hAnsi="仿宋" w:eastAsia="仿宋"/>
          <w:sz w:val="32"/>
          <w:szCs w:val="32"/>
        </w:rPr>
        <w:t>奖企业数量均居郑州县市首位。在推动传统产业提质增效同时，我们在全省率先规划建设6.7平方公里的中部地区电子信息产业园，引进培育电子信息产业项目26个，被列为全省制造业高质量发展综合评价试点市。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 w:hAnsi="楷体" w:eastAsia="楷体"/>
          <w:sz w:val="32"/>
          <w:szCs w:val="32"/>
        </w:rPr>
      </w:pPr>
      <w:r>
        <w:rPr>
          <w:rFonts w:hint="eastAsia" w:ascii="仿宋" w:hAnsi="仿宋" w:eastAsia="仿宋"/>
          <w:sz w:val="32"/>
          <w:szCs w:val="32"/>
        </w:rPr>
        <w:t>3.突破瓶颈制约，驱动质量创新。坚持将创新作为提升质量的第一动力，通过人才培养、技术创新、过程创新、细节创新，推动各方面质量实现质的飞跃。先后引进中原工学院等大中专院校24所、在校师生20多万人，是河南省拥有高校最多的县（市）；依托丰富的高校资源，建成创新创业综合体、众创空间、科技企业孵化器23个、公共服务平台3家，打造省级研发平台45家、郑州市级研发平台83家。以建设国家创新型县（市）为抓手，累计培育高新技术企业32家、科技型企业179家，参与制定免洗红枣等国家标准5项、主导制定行业标准17项，好想你、加加味业被评为绿色工厂，灵佑药业、运达设备被认定为国家知识产权优势企业，润恒节能、亿万中元生物荣获中国专利优秀奖，是郑州首个荣获中国专利优秀奖的县（市）。特别是，我们秉承本土建筑学鼻祖李诫“工匠精神”“创新精神”，高质量实施城市提质项目184个，16项工程荣获郑州市“结构商鼎杯”称号，被列为全省百城提质暨文明城市创建工作推进会观摩城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二、质量发展背景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“十四五”时期,正处于中华民族伟大复兴战略全局和世界百年未有之大变局下,国内外环境发生深刻复杂的变化, 从国际看,世界百年未有之大变局进入加速演变期,新一轮科技革命和产业变革周期更短、迭代更快,全球新冠肺炎疫情大流行带来巨大变量,经济全球化遭遇逆流,国际产业分工格局调整和竞争加剧。质量提升已成为促进产业转型升级，占领价值链中高端的重要手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从国内看,我国发展进入新阶段,开启全面建设社会主义现代化国家新征程,已由高速增长阶段转向高质量发展阶段,党中央高度重视质量工作，强调需要下最大气力抓全面提高质量，推动我国经济发展进入质量时代。指出提高供给质量是供给侧结构性改革的主攻方向，全面提高产品和服务质量是提升供给体系的中心任务。质量成为实现高质量发展的核心目标和内生动力。建设质量强市是构建现代产业体系、推动经济结构优化升级的有效途径，是优化质量供给、满足人民对美好生活向往的根本任务，是推进质量现代治理的重大举措，必须举全市之力，全面实施质量强市战略，以质量提升引领产业和品牌迈向中高端，提供更多的高质量产品、工程、服务和环境，更好地满足人民群众对高品质生活的期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 w:hAnsi="楷体" w:eastAsia="楷体"/>
          <w:sz w:val="32"/>
          <w:szCs w:val="32"/>
        </w:rPr>
      </w:pPr>
      <w:r>
        <w:rPr>
          <w:rFonts w:hint="eastAsia" w:ascii="仿宋" w:hAnsi="仿宋" w:eastAsia="仿宋"/>
          <w:sz w:val="32"/>
          <w:szCs w:val="32"/>
        </w:rPr>
        <w:t>“十四五”时期，是我市加快建设现代化全国一流中小城市的关键时期,是全面推进经济社会高质量发展的攻坚时期,质量工作处于可以大有可为的重要战略机遇期。要准确把握新郑发展阶段性特征和新时代质量工作任务要求，充分调动各方面积极性，加快建设质量强市，为我市打造黄帝文化历史名城、现代临空产业新城、宜居宜业生态城市做出更大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三、“十四五”质量强市总体要求与发展目标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 w:hAnsi="楷体" w:eastAsia="楷体"/>
          <w:sz w:val="32"/>
          <w:szCs w:val="32"/>
        </w:rPr>
      </w:pPr>
      <w:r>
        <w:rPr>
          <w:rFonts w:hint="eastAsia" w:ascii="楷体" w:hAnsi="楷体" w:eastAsia="楷体"/>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00B050"/>
          <w:sz w:val="32"/>
          <w:szCs w:val="32"/>
        </w:rPr>
      </w:pPr>
      <w:r>
        <w:rPr>
          <w:rFonts w:hint="eastAsia" w:ascii="仿宋" w:hAnsi="仿宋" w:eastAsia="仿宋"/>
          <w:sz w:val="32"/>
          <w:szCs w:val="32"/>
        </w:rPr>
        <w:t>以习近平新时代中国特色社会主义思想为指导，全面贯彻党的十九大和十九届二中、三中、四中、五中全会精神，深入贯彻习近平总书记关于河南、郑州的重要讲话指示精神,立足新发展阶段，贯彻新发展理念，构建新发展格局。以高质量发展为主题,以供给侧结构性改革为主线，以改革创新为动力，以满足人民日益增长的美好生活需要为根本目的。将质量强市战略放在更加突出的位置，充分发挥质量在县域治理“三起来”和经济社会发展中的战略支撑作用，坚持质量第一、效益优先，用质量发展引领城市的可持续发展，加快构建现代产业体系，大力推动全市经济发展质量变革、效率变革、动力变革，为建成自然之美、社会公正、城乡和谐的现代田园临空经济强市奠定坚实的质量基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 w:hAnsi="楷体" w:eastAsia="楷体"/>
          <w:sz w:val="32"/>
          <w:szCs w:val="32"/>
        </w:rPr>
      </w:pPr>
      <w:r>
        <w:rPr>
          <w:rFonts w:hint="eastAsia" w:ascii="楷体" w:hAnsi="楷体" w:eastAsia="楷体"/>
          <w:sz w:val="32"/>
          <w:szCs w:val="32"/>
        </w:rPr>
        <w:t>（二）基本原则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1.以质取胜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 w:hAnsi="楷体" w:eastAsia="楷体"/>
          <w:sz w:val="32"/>
          <w:szCs w:val="32"/>
        </w:rPr>
      </w:pPr>
      <w:r>
        <w:rPr>
          <w:rFonts w:hint="eastAsia" w:ascii="仿宋" w:hAnsi="仿宋" w:eastAsia="仿宋"/>
          <w:sz w:val="32"/>
          <w:szCs w:val="32"/>
        </w:rPr>
        <w:t>坚持以质量第一为价值导向。牢固树立质量第一的强烈意识，大力实施质量强市战略，找准改革创新与转型升级的切入点、内生增长与开放发展的结合点、社会建设与民生改善的着力点，坚持优质发展、以质取胜，深入实施质量提升行动，真正形成各级党委和政府重视质量、企业追求质量、社会崇尚质量、人人关心质量的良好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2.以人为本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 w:hAnsi="楷体" w:eastAsia="楷体"/>
          <w:sz w:val="32"/>
          <w:szCs w:val="32"/>
        </w:rPr>
      </w:pPr>
      <w:r>
        <w:rPr>
          <w:rFonts w:hint="eastAsia" w:ascii="仿宋" w:hAnsi="仿宋" w:eastAsia="仿宋"/>
          <w:sz w:val="32"/>
          <w:szCs w:val="32"/>
        </w:rPr>
        <w:t>坚持以满足人民群众需求和增强城市综合实力为根本目的。把增进民生福祉、满足人民群众质量需求作为质量工作的出发点和落脚点，促进质量发展成果全民共享，增强人民群众的质量获得感。持续提高产品、工程、服务的质量水平、质量层次和品牌影响力，推动我市产业价值链从低端向中高端延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3.创新驱动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把创新摆在质量发展全局的核心位置，作为质量发展的强大动力。加快技术进步，实现管理创新，提高劳动者素质，优化资源配置，增强创新能力，增强发展活力，推动我市质量强市工作全面、协调、可持续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4.共治共享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 w:hAnsi="楷体" w:eastAsia="楷体"/>
          <w:sz w:val="32"/>
          <w:szCs w:val="32"/>
        </w:rPr>
      </w:pPr>
      <w:r>
        <w:rPr>
          <w:rFonts w:hint="eastAsia" w:ascii="仿宋" w:hAnsi="仿宋" w:eastAsia="仿宋"/>
          <w:sz w:val="32"/>
          <w:szCs w:val="32"/>
        </w:rPr>
        <w:t>把社会共治作为质量发展的有效途径。构建政府监管、市场调节、企业主体、行业自律、社会参与的多元共治格局，建立并完善大质量工作机制。强化企业质量主体责任，激发企业活力和创造力。支持社会组织引导行业规范发展。加强群众监督和舆论监督，发动社会力量开展质量安全志愿服务，形成质量多元共治格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 w:hAnsi="楷体" w:eastAsia="楷体"/>
          <w:sz w:val="32"/>
          <w:szCs w:val="32"/>
        </w:rPr>
      </w:pPr>
      <w:r>
        <w:rPr>
          <w:rFonts w:hint="eastAsia" w:ascii="楷体" w:hAnsi="楷体" w:eastAsia="楷体"/>
          <w:sz w:val="32"/>
          <w:szCs w:val="32"/>
        </w:rPr>
        <w:t>（三）发展目标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1.总体目标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按照实施“双融入、双承接”战略要求和建设现代田园临空经济强市的工作要求，把质量强市战略与县域治理“三起来”深度融合，不断提升经济、社会、文化、生态、民生、政府服务等宏观质量水平。力争到2025年，质量发展机制更加成熟，质量基础进一步夯实，质量安全更有保障，质量创新能力明显增强，质量意识普遍提高，质量提升更有成效。质量对提高全要素生产率和促进经济发展的贡献进一步增强，培育形成一批质量管理优秀、质量水平高、品牌影响力大的优势企业，建成具有较强竞争优势的现代产业体系，高水平建成质量强市，质量发展成果惠及全体人民群众。</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具体目标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1）产品质量目标。产品质量保障体系更加完善，质量水平持续提升，产品质量安全指标全面达到国家强制性标准要求，电子信息工业、生物医药产业、现代食品制造业等特色优势产业产品质量达到或接近国内先进水平，品牌市场竞争力明显提高。农产品、食品等重点产品质量安全得到有效保障。</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9"/>
        <w:gridCol w:w="7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center"/>
              <w:textAlignment w:val="auto"/>
              <w:rPr>
                <w:rFonts w:ascii="仿宋" w:hAnsi="仿宋" w:eastAsia="仿宋"/>
                <w:sz w:val="24"/>
                <w:szCs w:val="24"/>
              </w:rPr>
            </w:pPr>
            <w:r>
              <w:rPr>
                <w:rFonts w:hint="eastAsia" w:ascii="仿宋" w:hAnsi="仿宋" w:eastAsia="仿宋"/>
                <w:sz w:val="24"/>
                <w:szCs w:val="24"/>
              </w:rPr>
              <w:t>专栏1产品质量主要量化指标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sz w:val="24"/>
                <w:szCs w:val="24"/>
              </w:rPr>
            </w:pPr>
            <w:r>
              <w:rPr>
                <w:rFonts w:hint="eastAsia" w:ascii="仿宋" w:hAnsi="仿宋" w:eastAsia="仿宋"/>
                <w:sz w:val="24"/>
                <w:szCs w:val="24"/>
              </w:rPr>
              <w:t>工业产品</w:t>
            </w:r>
          </w:p>
        </w:tc>
        <w:tc>
          <w:tcPr>
            <w:tcW w:w="716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仿宋" w:hAnsi="仿宋" w:eastAsia="仿宋"/>
                <w:sz w:val="24"/>
                <w:szCs w:val="24"/>
              </w:rPr>
            </w:pPr>
            <w:r>
              <w:rPr>
                <w:rFonts w:hint="eastAsia" w:ascii="仿宋" w:hAnsi="仿宋" w:eastAsia="仿宋"/>
                <w:sz w:val="24"/>
                <w:szCs w:val="24"/>
              </w:rPr>
              <w:t>1.重点工业产品（不含食品）质量监督抽查不合格发现率不高于5%;</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仿宋" w:hAnsi="仿宋" w:eastAsia="仿宋"/>
                <w:sz w:val="24"/>
                <w:szCs w:val="24"/>
              </w:rPr>
            </w:pPr>
            <w:r>
              <w:rPr>
                <w:rFonts w:hint="eastAsia" w:ascii="仿宋" w:hAnsi="仿宋" w:eastAsia="仿宋"/>
                <w:sz w:val="24"/>
                <w:szCs w:val="24"/>
              </w:rPr>
              <w:t>2.出口工业产品检验合格率98%以上。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sz w:val="24"/>
                <w:szCs w:val="24"/>
              </w:rPr>
            </w:pPr>
            <w:r>
              <w:rPr>
                <w:rFonts w:hint="eastAsia" w:ascii="仿宋" w:hAnsi="仿宋" w:eastAsia="仿宋"/>
                <w:spacing w:val="-23"/>
                <w:sz w:val="24"/>
                <w:szCs w:val="24"/>
              </w:rPr>
              <w:t>食用农产品</w:t>
            </w:r>
          </w:p>
        </w:tc>
        <w:tc>
          <w:tcPr>
            <w:tcW w:w="716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仿宋" w:hAnsi="仿宋" w:eastAsia="仿宋"/>
                <w:sz w:val="24"/>
                <w:szCs w:val="24"/>
              </w:rPr>
            </w:pPr>
            <w:r>
              <w:rPr>
                <w:rFonts w:ascii="仿宋" w:hAnsi="仿宋" w:eastAsia="仿宋" w:cs="宋体"/>
                <w:snapToGrid w:val="0"/>
                <w:color w:val="000000"/>
                <w:spacing w:val="14"/>
                <w:sz w:val="24"/>
                <w:szCs w:val="24"/>
              </w:rPr>
              <w:t>食用农产品抽检合格率9</w:t>
            </w:r>
            <w:r>
              <w:rPr>
                <w:rFonts w:hint="eastAsia" w:ascii="仿宋" w:hAnsi="仿宋" w:eastAsia="仿宋" w:cs="宋体"/>
                <w:snapToGrid w:val="0"/>
                <w:color w:val="000000"/>
                <w:spacing w:val="14"/>
                <w:sz w:val="24"/>
                <w:szCs w:val="24"/>
                <w:lang w:val="en-US" w:eastAsia="zh-CN"/>
              </w:rPr>
              <w:t>8</w:t>
            </w:r>
            <w:r>
              <w:rPr>
                <w:rFonts w:ascii="仿宋" w:hAnsi="仿宋" w:eastAsia="仿宋" w:cs="宋体"/>
                <w:snapToGrid w:val="0"/>
                <w:color w:val="000000"/>
                <w:spacing w:val="14"/>
                <w:sz w:val="24"/>
                <w:szCs w:val="24"/>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sz w:val="24"/>
                <w:szCs w:val="24"/>
              </w:rPr>
            </w:pPr>
            <w:r>
              <w:rPr>
                <w:rFonts w:hint="eastAsia" w:ascii="仿宋" w:hAnsi="仿宋" w:eastAsia="仿宋"/>
                <w:sz w:val="24"/>
                <w:szCs w:val="24"/>
              </w:rPr>
              <w:t>食品药品</w:t>
            </w:r>
          </w:p>
        </w:tc>
        <w:tc>
          <w:tcPr>
            <w:tcW w:w="716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仿宋" w:hAnsi="仿宋" w:eastAsia="仿宋"/>
                <w:sz w:val="24"/>
                <w:szCs w:val="24"/>
              </w:rPr>
            </w:pPr>
            <w:r>
              <w:rPr>
                <w:rFonts w:hint="eastAsia" w:ascii="仿宋" w:hAnsi="仿宋" w:eastAsia="仿宋"/>
                <w:sz w:val="24"/>
                <w:szCs w:val="24"/>
              </w:rPr>
              <w:t>1.食品抽检合格率稳定在98%以上;</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仿宋" w:hAnsi="仿宋" w:eastAsia="仿宋"/>
                <w:sz w:val="24"/>
                <w:szCs w:val="24"/>
              </w:rPr>
            </w:pPr>
            <w:r>
              <w:rPr>
                <w:rFonts w:hint="eastAsia" w:ascii="仿宋" w:hAnsi="仿宋" w:eastAsia="仿宋"/>
                <w:sz w:val="24"/>
                <w:szCs w:val="24"/>
              </w:rPr>
              <w:t>2.新增绿色食品认证</w:t>
            </w:r>
            <w:r>
              <w:rPr>
                <w:rFonts w:hint="eastAsia" w:ascii="仿宋" w:hAnsi="仿宋" w:eastAsia="仿宋"/>
                <w:sz w:val="24"/>
                <w:szCs w:val="24"/>
                <w:highlight w:val="none"/>
              </w:rPr>
              <w:t>10</w:t>
            </w:r>
            <w:r>
              <w:rPr>
                <w:rFonts w:hint="eastAsia" w:ascii="仿宋" w:hAnsi="仿宋" w:eastAsia="仿宋"/>
                <w:sz w:val="24"/>
                <w:szCs w:val="24"/>
              </w:rPr>
              <w:t>个产品，新增有机产品认证</w:t>
            </w:r>
            <w:r>
              <w:rPr>
                <w:rFonts w:hint="eastAsia" w:ascii="仿宋" w:hAnsi="仿宋" w:eastAsia="仿宋"/>
                <w:sz w:val="24"/>
                <w:szCs w:val="24"/>
                <w:lang w:val="en-US" w:eastAsia="zh-CN"/>
              </w:rPr>
              <w:t>26</w:t>
            </w:r>
            <w:r>
              <w:rPr>
                <w:rFonts w:hint="eastAsia" w:ascii="仿宋" w:hAnsi="仿宋" w:eastAsia="仿宋"/>
                <w:sz w:val="24"/>
                <w:szCs w:val="24"/>
              </w:rPr>
              <w:t>产品</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仿宋" w:hAnsi="仿宋" w:eastAsia="仿宋"/>
                <w:sz w:val="24"/>
                <w:szCs w:val="24"/>
              </w:rPr>
            </w:pPr>
            <w:r>
              <w:rPr>
                <w:rFonts w:hint="eastAsia" w:ascii="仿宋" w:hAnsi="仿宋" w:eastAsia="仿宋"/>
                <w:sz w:val="24"/>
                <w:szCs w:val="24"/>
              </w:rPr>
              <w:t>3.药品零售企业</w:t>
            </w:r>
            <w:r>
              <w:rPr>
                <w:rFonts w:hint="eastAsia" w:ascii="仿宋" w:hAnsi="仿宋" w:eastAsia="仿宋"/>
                <w:b w:val="0"/>
                <w:bCs w:val="0"/>
                <w:color w:val="auto"/>
                <w:sz w:val="24"/>
                <w:szCs w:val="24"/>
                <w:shd w:val="clear" w:color="auto" w:fill="auto"/>
              </w:rPr>
              <w:t>监督</w:t>
            </w:r>
            <w:r>
              <w:rPr>
                <w:rFonts w:hint="eastAsia" w:ascii="仿宋" w:hAnsi="仿宋" w:eastAsia="仿宋"/>
                <w:sz w:val="24"/>
                <w:szCs w:val="24"/>
              </w:rPr>
              <w:t>抽检合格率98%以上;</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仿宋" w:hAnsi="仿宋" w:eastAsia="仿宋"/>
                <w:sz w:val="24"/>
                <w:szCs w:val="24"/>
              </w:rPr>
            </w:pPr>
            <w:r>
              <w:rPr>
                <w:rFonts w:hint="eastAsia" w:ascii="仿宋" w:hAnsi="仿宋" w:eastAsia="仿宋"/>
                <w:sz w:val="24"/>
                <w:szCs w:val="24"/>
              </w:rPr>
              <w:t>4.医疗器械和化妆品经营企业实现规范化管理。</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2）工程质量目标。到2025年,工程质量稳定提高，重大建设工程的耐久性、安全性不断提升，建筑工程节能效率和工业化建造比重不断提高。绿色建筑发展迅速，住宅性能改善明显。人民群众对工程质量满意度明显提高。</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9"/>
        <w:gridCol w:w="7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2"/>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ascii="仿宋" w:hAnsi="仿宋" w:eastAsia="仿宋"/>
                <w:sz w:val="24"/>
                <w:szCs w:val="24"/>
              </w:rPr>
            </w:pPr>
            <w:r>
              <w:rPr>
                <w:rFonts w:hint="eastAsia" w:ascii="仿宋" w:hAnsi="仿宋" w:eastAsia="仿宋"/>
                <w:sz w:val="24"/>
                <w:szCs w:val="24"/>
              </w:rPr>
              <w:t>专栏2工程质量主要量化指标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9"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sz w:val="24"/>
                <w:szCs w:val="24"/>
              </w:rPr>
            </w:pPr>
            <w:r>
              <w:rPr>
                <w:rFonts w:hint="eastAsia" w:ascii="仿宋" w:hAnsi="仿宋" w:eastAsia="仿宋"/>
                <w:sz w:val="24"/>
                <w:szCs w:val="24"/>
              </w:rPr>
              <w:t>竣工工程</w:t>
            </w:r>
          </w:p>
        </w:tc>
        <w:tc>
          <w:tcPr>
            <w:tcW w:w="7343"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 w:val="24"/>
                <w:szCs w:val="24"/>
              </w:rPr>
            </w:pPr>
            <w:r>
              <w:rPr>
                <w:rFonts w:hint="eastAsia" w:ascii="仿宋" w:hAnsi="仿宋" w:eastAsia="仿宋"/>
                <w:sz w:val="24"/>
                <w:szCs w:val="24"/>
              </w:rPr>
              <w:t>1大中型工程项目验收合格率达到100%；</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 w:val="24"/>
                <w:szCs w:val="24"/>
              </w:rPr>
            </w:pPr>
            <w:r>
              <w:rPr>
                <w:rFonts w:hint="eastAsia" w:ascii="仿宋" w:hAnsi="仿宋" w:eastAsia="仿宋"/>
                <w:sz w:val="24"/>
                <w:szCs w:val="24"/>
              </w:rPr>
              <w:t>2.其它工程验收合格率达到100%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9"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sz w:val="24"/>
                <w:szCs w:val="24"/>
              </w:rPr>
            </w:pPr>
            <w:r>
              <w:rPr>
                <w:rFonts w:hint="eastAsia" w:ascii="仿宋" w:hAnsi="仿宋" w:eastAsia="仿宋"/>
                <w:sz w:val="24"/>
                <w:szCs w:val="24"/>
              </w:rPr>
              <w:t>标准执行</w:t>
            </w:r>
          </w:p>
        </w:tc>
        <w:tc>
          <w:tcPr>
            <w:tcW w:w="7343"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 w:val="24"/>
                <w:szCs w:val="24"/>
              </w:rPr>
            </w:pPr>
            <w:r>
              <w:rPr>
                <w:rFonts w:hint="eastAsia" w:ascii="仿宋" w:hAnsi="仿宋" w:eastAsia="仿宋"/>
                <w:sz w:val="24"/>
                <w:szCs w:val="24"/>
              </w:rPr>
              <w:t>1.国家标准和要求执行率达到100%；</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 w:val="24"/>
                <w:szCs w:val="24"/>
              </w:rPr>
            </w:pPr>
            <w:r>
              <w:rPr>
                <w:rFonts w:hint="eastAsia" w:ascii="仿宋" w:hAnsi="仿宋" w:eastAsia="仿宋"/>
                <w:sz w:val="24"/>
                <w:szCs w:val="24"/>
              </w:rPr>
              <w:t>2.新开工建筑节能设计标准执行率达到100%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9"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sz w:val="24"/>
                <w:szCs w:val="24"/>
              </w:rPr>
            </w:pPr>
            <w:r>
              <w:rPr>
                <w:rFonts w:hint="eastAsia" w:ascii="仿宋" w:hAnsi="仿宋" w:eastAsia="仿宋"/>
                <w:sz w:val="24"/>
                <w:szCs w:val="24"/>
              </w:rPr>
              <w:t>建筑工程</w:t>
            </w:r>
          </w:p>
        </w:tc>
        <w:tc>
          <w:tcPr>
            <w:tcW w:w="7343"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 w:val="24"/>
                <w:szCs w:val="24"/>
              </w:rPr>
            </w:pPr>
            <w:r>
              <w:rPr>
                <w:rFonts w:hint="eastAsia" w:ascii="仿宋" w:hAnsi="仿宋" w:eastAsia="仿宋"/>
                <w:sz w:val="24"/>
                <w:szCs w:val="24"/>
              </w:rPr>
              <w:t xml:space="preserve">1.建筑工程质量验收合格100%；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sz w:val="24"/>
                <w:szCs w:val="24"/>
              </w:rPr>
            </w:pPr>
            <w:r>
              <w:rPr>
                <w:rFonts w:hint="eastAsia" w:ascii="仿宋" w:hAnsi="仿宋" w:eastAsia="仿宋"/>
                <w:sz w:val="24"/>
                <w:szCs w:val="24"/>
              </w:rPr>
              <w:t xml:space="preserve">2.城市行政区域内房屋建筑与市政工程质量监督覆盖率达到100%；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 w:val="24"/>
                <w:szCs w:val="24"/>
              </w:rPr>
            </w:pPr>
            <w:r>
              <w:rPr>
                <w:rFonts w:hint="eastAsia" w:ascii="仿宋" w:hAnsi="仿宋" w:eastAsia="仿宋"/>
                <w:sz w:val="24"/>
                <w:szCs w:val="24"/>
              </w:rPr>
              <w:t>3.</w:t>
            </w:r>
            <w:r>
              <w:rPr>
                <w:rFonts w:hint="eastAsia" w:ascii="仿宋" w:hAnsi="仿宋" w:eastAsia="仿宋"/>
                <w:sz w:val="24"/>
                <w:szCs w:val="24"/>
                <w:lang w:eastAsia="zh-CN"/>
              </w:rPr>
              <w:t>国家</w:t>
            </w:r>
            <w:r>
              <w:rPr>
                <w:rFonts w:hint="eastAsia" w:ascii="仿宋" w:hAnsi="仿宋" w:eastAsia="仿宋"/>
                <w:sz w:val="24"/>
                <w:szCs w:val="24"/>
              </w:rPr>
              <w:t>装配式建筑</w:t>
            </w:r>
            <w:r>
              <w:rPr>
                <w:rFonts w:hint="eastAsia" w:ascii="仿宋" w:hAnsi="仿宋" w:eastAsia="仿宋"/>
                <w:sz w:val="24"/>
                <w:szCs w:val="24"/>
                <w:lang w:eastAsia="zh-CN"/>
              </w:rPr>
              <w:t>产业</w:t>
            </w:r>
            <w:r>
              <w:rPr>
                <w:rFonts w:hint="eastAsia" w:ascii="仿宋" w:hAnsi="仿宋" w:eastAsia="仿宋"/>
                <w:sz w:val="24"/>
                <w:szCs w:val="24"/>
              </w:rPr>
              <w:t>基地达到</w:t>
            </w:r>
            <w:r>
              <w:rPr>
                <w:rFonts w:hint="eastAsia" w:ascii="仿宋" w:hAnsi="仿宋" w:eastAsia="仿宋"/>
                <w:sz w:val="24"/>
                <w:szCs w:val="24"/>
                <w:lang w:val="en-US" w:eastAsia="zh-CN"/>
              </w:rPr>
              <w:t>1</w:t>
            </w:r>
            <w:r>
              <w:rPr>
                <w:rFonts w:hint="eastAsia" w:ascii="仿宋" w:hAnsi="仿宋" w:eastAsia="仿宋"/>
                <w:sz w:val="24"/>
                <w:szCs w:val="24"/>
              </w:rPr>
              <w:t xml:space="preserve">个;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仿宋" w:hAnsi="仿宋" w:eastAsia="仿宋"/>
                <w:sz w:val="24"/>
                <w:szCs w:val="24"/>
                <w:lang w:val="en-US" w:eastAsia="zh-CN"/>
              </w:rPr>
            </w:pPr>
            <w:r>
              <w:rPr>
                <w:rFonts w:hint="eastAsia" w:ascii="仿宋" w:hAnsi="仿宋" w:eastAsia="仿宋"/>
                <w:sz w:val="24"/>
                <w:szCs w:val="24"/>
              </w:rPr>
              <w:t>4.</w:t>
            </w:r>
            <w:r>
              <w:rPr>
                <w:rFonts w:hint="eastAsia" w:ascii="仿宋" w:hAnsi="仿宋" w:eastAsia="仿宋"/>
                <w:sz w:val="24"/>
                <w:szCs w:val="24"/>
                <w:lang w:eastAsia="zh-CN"/>
              </w:rPr>
              <w:t>城镇新建民用</w:t>
            </w:r>
            <w:r>
              <w:rPr>
                <w:rFonts w:hint="eastAsia" w:ascii="仿宋" w:hAnsi="仿宋" w:eastAsia="仿宋"/>
                <w:sz w:val="24"/>
                <w:szCs w:val="24"/>
              </w:rPr>
              <w:t>建筑</w:t>
            </w:r>
            <w:r>
              <w:rPr>
                <w:rFonts w:hint="eastAsia" w:ascii="仿宋" w:hAnsi="仿宋" w:eastAsia="仿宋"/>
                <w:sz w:val="24"/>
                <w:szCs w:val="24"/>
                <w:lang w:eastAsia="zh-CN"/>
              </w:rPr>
              <w:t>中绿色建筑</w:t>
            </w:r>
            <w:r>
              <w:rPr>
                <w:rFonts w:hint="eastAsia" w:ascii="仿宋" w:hAnsi="仿宋" w:eastAsia="仿宋"/>
                <w:sz w:val="24"/>
                <w:szCs w:val="24"/>
              </w:rPr>
              <w:t>总面积</w:t>
            </w:r>
            <w:r>
              <w:rPr>
                <w:rFonts w:hint="eastAsia" w:ascii="仿宋" w:hAnsi="仿宋" w:eastAsia="仿宋"/>
                <w:sz w:val="24"/>
                <w:szCs w:val="24"/>
                <w:lang w:eastAsia="zh-CN"/>
              </w:rPr>
              <w:t>占比达到</w:t>
            </w:r>
            <w:r>
              <w:rPr>
                <w:rFonts w:hint="eastAsia" w:ascii="仿宋" w:hAnsi="仿宋" w:eastAsia="仿宋"/>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9"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sz w:val="24"/>
                <w:szCs w:val="24"/>
              </w:rPr>
            </w:pPr>
            <w:r>
              <w:rPr>
                <w:rFonts w:hint="eastAsia" w:ascii="仿宋" w:hAnsi="仿宋" w:eastAsia="仿宋"/>
                <w:sz w:val="24"/>
                <w:szCs w:val="24"/>
              </w:rPr>
              <w:t>交通工程</w:t>
            </w:r>
          </w:p>
        </w:tc>
        <w:tc>
          <w:tcPr>
            <w:tcW w:w="7343"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 w:val="24"/>
                <w:szCs w:val="24"/>
              </w:rPr>
            </w:pPr>
            <w:r>
              <w:rPr>
                <w:rFonts w:hint="eastAsia" w:ascii="仿宋" w:hAnsi="仿宋" w:eastAsia="仿宋"/>
                <w:sz w:val="24"/>
                <w:szCs w:val="24"/>
              </w:rPr>
              <w:t>1.干线新（改、扩）建工程和地方重点工程项目合格率达到100%；</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 w:val="24"/>
                <w:szCs w:val="24"/>
              </w:rPr>
            </w:pPr>
            <w:r>
              <w:rPr>
                <w:rFonts w:hint="eastAsia" w:ascii="仿宋" w:hAnsi="仿宋" w:eastAsia="仿宋"/>
                <w:sz w:val="24"/>
                <w:szCs w:val="24"/>
              </w:rPr>
              <w:t xml:space="preserve">2.农村公路工程项目合格率达到100%；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 w:val="24"/>
                <w:szCs w:val="24"/>
              </w:rPr>
            </w:pPr>
            <w:r>
              <w:rPr>
                <w:rFonts w:hint="eastAsia" w:ascii="仿宋" w:hAnsi="仿宋" w:eastAsia="仿宋"/>
                <w:sz w:val="24"/>
                <w:szCs w:val="24"/>
              </w:rPr>
              <w:t>3.其它交通建设和养护改善工程项目合格率达到100%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9"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sz w:val="24"/>
                <w:szCs w:val="24"/>
              </w:rPr>
            </w:pPr>
            <w:r>
              <w:rPr>
                <w:rFonts w:hint="eastAsia" w:ascii="仿宋" w:hAnsi="仿宋" w:eastAsia="仿宋"/>
                <w:sz w:val="24"/>
                <w:szCs w:val="24"/>
              </w:rPr>
              <w:t>水利工程</w:t>
            </w:r>
          </w:p>
        </w:tc>
        <w:tc>
          <w:tcPr>
            <w:tcW w:w="7343"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 w:val="24"/>
                <w:szCs w:val="24"/>
              </w:rPr>
            </w:pPr>
            <w:r>
              <w:rPr>
                <w:rFonts w:hint="eastAsia" w:ascii="仿宋" w:hAnsi="仿宋" w:eastAsia="仿宋"/>
                <w:sz w:val="24"/>
                <w:szCs w:val="24"/>
              </w:rPr>
              <w:t>l.单元工程质量合格率达到100%；</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 w:val="24"/>
                <w:szCs w:val="24"/>
              </w:rPr>
            </w:pPr>
            <w:r>
              <w:rPr>
                <w:rFonts w:hint="eastAsia" w:ascii="仿宋" w:hAnsi="仿宋" w:eastAsia="仿宋"/>
                <w:sz w:val="24"/>
                <w:szCs w:val="24"/>
              </w:rPr>
              <w:t>2.综合优良率达到省下达指标要求。</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（3）服务质量目标。到 2025年，服务业质量水平明显提升，基本实现服务标准化、规范化和品牌化，建成一批国家、省、服务业标准化示范点，骨干企业品牌价值进一步显现，与先进制造业融合价值充分体现。生活性服务领域标准覆盖率和服务规范性大幅提升，服务质量满意度稳步提升,培育形成一批凝聚地域文化特色的服务名牌和精品服务项目，顾客满意度不断提高。</w:t>
      </w:r>
    </w:p>
    <w:tbl>
      <w:tblPr>
        <w:tblStyle w:val="4"/>
        <w:tblW w:w="86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0"/>
        <w:gridCol w:w="6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4" w:type="dxa"/>
            <w:gridSpan w:val="2"/>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ascii="仿宋" w:hAnsi="仿宋" w:eastAsia="仿宋"/>
                <w:sz w:val="24"/>
                <w:szCs w:val="24"/>
              </w:rPr>
            </w:pPr>
            <w:r>
              <w:rPr>
                <w:rFonts w:hint="eastAsia" w:ascii="仿宋" w:hAnsi="仿宋" w:eastAsia="仿宋"/>
                <w:sz w:val="24"/>
                <w:szCs w:val="24"/>
              </w:rPr>
              <w:t>专栏3服务质量主要量化指标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4"/>
                <w:szCs w:val="24"/>
              </w:rPr>
            </w:pPr>
            <w:r>
              <w:rPr>
                <w:rFonts w:hint="eastAsia" w:ascii="仿宋" w:hAnsi="仿宋" w:eastAsia="仿宋"/>
                <w:sz w:val="24"/>
                <w:szCs w:val="24"/>
              </w:rPr>
              <w:t>服务标准化</w:t>
            </w:r>
          </w:p>
        </w:tc>
        <w:tc>
          <w:tcPr>
            <w:tcW w:w="6904"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 w:hAnsi="仿宋" w:eastAsia="仿宋"/>
                <w:sz w:val="24"/>
                <w:szCs w:val="24"/>
              </w:rPr>
            </w:pPr>
            <w:r>
              <w:rPr>
                <w:rFonts w:hint="eastAsia" w:ascii="仿宋" w:hAnsi="仿宋" w:eastAsia="仿宋"/>
                <w:sz w:val="24"/>
                <w:szCs w:val="24"/>
              </w:rPr>
              <w:t>建成服务业标准化试点项目</w:t>
            </w:r>
            <w:r>
              <w:rPr>
                <w:rFonts w:hint="eastAsia" w:ascii="仿宋" w:hAnsi="仿宋" w:eastAsia="仿宋"/>
                <w:sz w:val="24"/>
                <w:szCs w:val="24"/>
                <w:highlight w:val="none"/>
              </w:rPr>
              <w:t>5</w:t>
            </w:r>
            <w:r>
              <w:rPr>
                <w:rFonts w:hint="eastAsia" w:ascii="仿宋" w:hAnsi="仿宋" w:eastAsia="仿宋"/>
                <w:sz w:val="24"/>
                <w:szCs w:val="24"/>
              </w:rPr>
              <w:t>个以上。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4"/>
                <w:szCs w:val="24"/>
              </w:rPr>
            </w:pPr>
            <w:r>
              <w:rPr>
                <w:rFonts w:hint="eastAsia" w:ascii="仿宋" w:hAnsi="仿宋" w:eastAsia="仿宋"/>
                <w:sz w:val="24"/>
                <w:szCs w:val="24"/>
              </w:rPr>
              <w:t>顾客满意度</w:t>
            </w:r>
          </w:p>
        </w:tc>
        <w:tc>
          <w:tcPr>
            <w:tcW w:w="6904"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 w:val="24"/>
                <w:szCs w:val="24"/>
              </w:rPr>
            </w:pPr>
            <w:r>
              <w:rPr>
                <w:rFonts w:hint="eastAsia" w:ascii="仿宋" w:hAnsi="仿宋" w:eastAsia="仿宋"/>
                <w:sz w:val="24"/>
                <w:szCs w:val="24"/>
              </w:rPr>
              <w:t>1.金融、现代物流、商务、交通运输信息、外包服务、研发设计、售后服务、会展服务、检验检测、评估服务等生产性服务业满意度达到 80 分以上；</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 w:val="24"/>
                <w:szCs w:val="24"/>
              </w:rPr>
            </w:pPr>
            <w:r>
              <w:rPr>
                <w:rFonts w:hint="eastAsia" w:ascii="仿宋" w:hAnsi="仿宋" w:eastAsia="仿宋"/>
                <w:sz w:val="24"/>
                <w:szCs w:val="24"/>
              </w:rPr>
              <w:t>2.批发、零售、住宿、餐饮、交通、旅游、物业管理、文体产业等生活性服务业满意度达到 75% — 80% 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0"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sz w:val="24"/>
                <w:szCs w:val="24"/>
              </w:rPr>
            </w:pPr>
            <w:r>
              <w:rPr>
                <w:rFonts w:hint="eastAsia" w:ascii="仿宋" w:hAnsi="仿宋" w:eastAsia="仿宋"/>
                <w:sz w:val="24"/>
                <w:szCs w:val="24"/>
              </w:rPr>
              <w:t>宏观质量领域 服务质量指标</w:t>
            </w:r>
          </w:p>
        </w:tc>
        <w:tc>
          <w:tcPr>
            <w:tcW w:w="69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仿宋" w:hAnsi="仿宋" w:eastAsia="仿宋"/>
                <w:sz w:val="24"/>
                <w:szCs w:val="24"/>
              </w:rPr>
            </w:pPr>
            <w:r>
              <w:rPr>
                <w:rFonts w:hint="eastAsia" w:ascii="仿宋" w:hAnsi="仿宋" w:eastAsia="仿宋"/>
                <w:sz w:val="24"/>
                <w:szCs w:val="24"/>
                <w:lang w:val="en-US" w:eastAsia="zh-CN"/>
              </w:rPr>
              <w:t>1.</w:t>
            </w:r>
            <w:r>
              <w:rPr>
                <w:rFonts w:hint="eastAsia" w:ascii="仿宋" w:hAnsi="仿宋" w:eastAsia="仿宋"/>
                <w:sz w:val="24"/>
                <w:szCs w:val="24"/>
              </w:rPr>
              <w:t>政府服务质量：政务服务中心群众质量满意度保持在98%以上；</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ascii="仿宋" w:hAnsi="仿宋" w:eastAsia="仿宋"/>
                <w:sz w:val="24"/>
                <w:szCs w:val="24"/>
              </w:rPr>
            </w:pPr>
            <w:r>
              <w:rPr>
                <w:rFonts w:hint="eastAsia" w:ascii="仿宋" w:hAnsi="仿宋" w:eastAsia="仿宋"/>
                <w:sz w:val="24"/>
                <w:szCs w:val="24"/>
              </w:rPr>
              <w:t>2.文化旅游服务质量:新建区图书馆 1 个，城市社区“10 分钟 健身圈”逐步形成，人均体育场地面积达到</w:t>
            </w:r>
            <w:r>
              <w:rPr>
                <w:rFonts w:hint="eastAsia" w:ascii="仿宋" w:hAnsi="仿宋" w:eastAsia="仿宋"/>
                <w:sz w:val="24"/>
                <w:szCs w:val="24"/>
                <w:lang w:val="en-US" w:eastAsia="zh-CN"/>
              </w:rPr>
              <w:t>2.6</w:t>
            </w:r>
            <w:r>
              <w:rPr>
                <w:rFonts w:hint="eastAsia" w:ascii="仿宋" w:hAnsi="仿宋" w:eastAsia="仿宋"/>
                <w:sz w:val="24"/>
                <w:szCs w:val="24"/>
              </w:rPr>
              <w:t>平方米，培育 4A 级以上旅游景区</w:t>
            </w:r>
            <w:r>
              <w:rPr>
                <w:rFonts w:hint="eastAsia" w:ascii="仿宋" w:hAnsi="仿宋" w:eastAsia="仿宋"/>
                <w:sz w:val="24"/>
                <w:szCs w:val="24"/>
                <w:lang w:val="en-US" w:eastAsia="zh-CN"/>
              </w:rPr>
              <w:t>1</w:t>
            </w:r>
            <w:r>
              <w:rPr>
                <w:rFonts w:hint="eastAsia" w:ascii="仿宋" w:hAnsi="仿宋" w:eastAsia="仿宋"/>
                <w:sz w:val="24"/>
                <w:szCs w:val="24"/>
              </w:rPr>
              <w:t>个，成功创建省级以上全域旅游示范区，游客投诉处理及时率</w:t>
            </w:r>
            <w:r>
              <w:rPr>
                <w:rFonts w:hint="eastAsia" w:ascii="仿宋" w:hAnsi="仿宋" w:eastAsia="仿宋"/>
                <w:sz w:val="24"/>
                <w:szCs w:val="24"/>
                <w:lang w:val="en-US" w:eastAsia="zh-CN"/>
              </w:rPr>
              <w:t>100%</w:t>
            </w:r>
            <w:r>
              <w:rPr>
                <w:rFonts w:hint="eastAsia" w:ascii="仿宋" w:hAnsi="仿宋" w:eastAsia="仿宋"/>
                <w:sz w:val="24"/>
                <w:szCs w:val="24"/>
              </w:rPr>
              <w: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 w:val="24"/>
                <w:szCs w:val="24"/>
              </w:rPr>
            </w:pPr>
            <w:r>
              <w:rPr>
                <w:rFonts w:hint="eastAsia" w:ascii="仿宋" w:hAnsi="仿宋" w:eastAsia="仿宋"/>
                <w:sz w:val="24"/>
                <w:szCs w:val="24"/>
              </w:rPr>
              <w:t>3.民生质量:社区养老服务覆盖率达 90%以上，每万</w:t>
            </w:r>
            <w:r>
              <w:rPr>
                <w:rFonts w:hint="eastAsia" w:ascii="仿宋" w:hAnsi="仿宋" w:eastAsia="仿宋"/>
                <w:sz w:val="24"/>
                <w:szCs w:val="24"/>
                <w:lang w:eastAsia="zh-CN"/>
              </w:rPr>
              <w:t>城市居民</w:t>
            </w:r>
            <w:r>
              <w:rPr>
                <w:rFonts w:hint="eastAsia" w:ascii="仿宋" w:hAnsi="仿宋" w:eastAsia="仿宋"/>
                <w:sz w:val="24"/>
                <w:szCs w:val="24"/>
              </w:rPr>
              <w:t xml:space="preserve">全科医生数量≥ 3人。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 w:val="24"/>
                <w:szCs w:val="24"/>
              </w:rPr>
            </w:pPr>
            <w:r>
              <w:rPr>
                <w:rFonts w:hint="eastAsia" w:ascii="仿宋" w:hAnsi="仿宋" w:eastAsia="仿宋"/>
                <w:sz w:val="24"/>
                <w:szCs w:val="24"/>
              </w:rPr>
              <w:t>4.城市建设和管理质量:供水、供气、供电等服务质量稳定，市民满意度逐步提升 。</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4）品牌和知识产权目标。到2025年，全市品牌建设取得明显成效，品牌建设基础进一步夯实，品牌发展环境不断优化，品牌培育能力显著增强，自主品牌数量和知名品牌数量显著增加，品牌价值显著提高，品牌培育成果有效支撑经济和社会的发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4"/>
        <w:gridCol w:w="4467"/>
        <w:gridCol w:w="3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center"/>
              <w:textAlignment w:val="auto"/>
              <w:rPr>
                <w:rFonts w:ascii="仿宋" w:hAnsi="仿宋" w:eastAsia="仿宋"/>
                <w:sz w:val="24"/>
                <w:szCs w:val="24"/>
              </w:rPr>
            </w:pPr>
            <w:r>
              <w:rPr>
                <w:rFonts w:hint="eastAsia" w:ascii="仿宋" w:hAnsi="仿宋" w:eastAsia="仿宋"/>
                <w:sz w:val="24"/>
                <w:szCs w:val="24"/>
              </w:rPr>
              <w:t>专栏4品牌发展主要量化指标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sz w:val="24"/>
                <w:szCs w:val="24"/>
              </w:rPr>
            </w:pPr>
            <w:r>
              <w:rPr>
                <w:rFonts w:hint="eastAsia" w:ascii="仿宋" w:hAnsi="仿宋" w:eastAsia="仿宋"/>
                <w:sz w:val="24"/>
                <w:szCs w:val="24"/>
              </w:rPr>
              <w:t>序号</w:t>
            </w:r>
          </w:p>
        </w:tc>
        <w:tc>
          <w:tcPr>
            <w:tcW w:w="446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sz w:val="24"/>
                <w:szCs w:val="24"/>
              </w:rPr>
            </w:pPr>
            <w:r>
              <w:rPr>
                <w:rFonts w:hint="eastAsia" w:ascii="仿宋" w:hAnsi="仿宋" w:eastAsia="仿宋"/>
                <w:sz w:val="24"/>
                <w:szCs w:val="24"/>
              </w:rPr>
              <w:t>指标项</w:t>
            </w:r>
          </w:p>
        </w:tc>
        <w:tc>
          <w:tcPr>
            <w:tcW w:w="3221"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center"/>
              <w:textAlignment w:val="auto"/>
              <w:rPr>
                <w:rFonts w:ascii="仿宋" w:hAnsi="仿宋" w:eastAsia="仿宋"/>
                <w:sz w:val="24"/>
                <w:szCs w:val="24"/>
              </w:rPr>
            </w:pPr>
            <w:r>
              <w:rPr>
                <w:rFonts w:hint="eastAsia" w:ascii="仿宋" w:hAnsi="仿宋" w:eastAsia="仿宋"/>
                <w:sz w:val="24"/>
                <w:szCs w:val="24"/>
              </w:rPr>
              <w:t>培育数（参考数量）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sz w:val="24"/>
                <w:szCs w:val="24"/>
              </w:rPr>
            </w:pPr>
            <w:r>
              <w:rPr>
                <w:rFonts w:hint="eastAsia" w:ascii="仿宋" w:hAnsi="仿宋" w:eastAsia="仿宋"/>
                <w:sz w:val="24"/>
                <w:szCs w:val="24"/>
              </w:rPr>
              <w:t>1</w:t>
            </w:r>
          </w:p>
        </w:tc>
        <w:tc>
          <w:tcPr>
            <w:tcW w:w="446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sz w:val="24"/>
                <w:szCs w:val="24"/>
              </w:rPr>
            </w:pPr>
            <w:r>
              <w:rPr>
                <w:rFonts w:hint="eastAsia" w:ascii="仿宋" w:hAnsi="仿宋" w:eastAsia="仿宋"/>
                <w:sz w:val="24"/>
                <w:szCs w:val="24"/>
              </w:rPr>
              <w:t>省长质量奖</w:t>
            </w:r>
          </w:p>
        </w:tc>
        <w:tc>
          <w:tcPr>
            <w:tcW w:w="322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sz w:val="24"/>
                <w:szCs w:val="24"/>
                <w:lang w:eastAsia="zh-CN"/>
              </w:rPr>
            </w:pPr>
            <w:r>
              <w:rPr>
                <w:rFonts w:hint="eastAsia" w:ascii="仿宋" w:hAnsi="仿宋" w:eastAsia="仿宋"/>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sz w:val="24"/>
                <w:szCs w:val="24"/>
              </w:rPr>
            </w:pPr>
            <w:r>
              <w:rPr>
                <w:rFonts w:hint="eastAsia" w:ascii="仿宋" w:hAnsi="仿宋" w:eastAsia="仿宋"/>
                <w:sz w:val="24"/>
                <w:szCs w:val="24"/>
              </w:rPr>
              <w:t>2</w:t>
            </w:r>
          </w:p>
        </w:tc>
        <w:tc>
          <w:tcPr>
            <w:tcW w:w="446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sz w:val="24"/>
                <w:szCs w:val="24"/>
              </w:rPr>
            </w:pPr>
            <w:r>
              <w:rPr>
                <w:rFonts w:hint="eastAsia" w:ascii="仿宋" w:hAnsi="仿宋" w:eastAsia="仿宋"/>
                <w:sz w:val="24"/>
                <w:szCs w:val="24"/>
              </w:rPr>
              <w:t>市长质量奖</w:t>
            </w:r>
          </w:p>
        </w:tc>
        <w:tc>
          <w:tcPr>
            <w:tcW w:w="322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sz w:val="24"/>
                <w:szCs w:val="24"/>
                <w:lang w:eastAsia="zh-CN"/>
              </w:rPr>
            </w:pPr>
            <w:r>
              <w:rPr>
                <w:rFonts w:hint="eastAsia" w:ascii="仿宋" w:hAnsi="仿宋" w:eastAsia="仿宋"/>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sz w:val="24"/>
                <w:szCs w:val="24"/>
              </w:rPr>
            </w:pPr>
            <w:r>
              <w:rPr>
                <w:rFonts w:hint="eastAsia" w:ascii="仿宋" w:hAnsi="仿宋" w:eastAsia="仿宋"/>
                <w:sz w:val="24"/>
                <w:szCs w:val="24"/>
              </w:rPr>
              <w:t>3</w:t>
            </w:r>
          </w:p>
        </w:tc>
        <w:tc>
          <w:tcPr>
            <w:tcW w:w="446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sz w:val="24"/>
                <w:szCs w:val="24"/>
              </w:rPr>
            </w:pPr>
            <w:r>
              <w:rPr>
                <w:rFonts w:hint="eastAsia" w:ascii="仿宋" w:hAnsi="仿宋" w:eastAsia="仿宋"/>
                <w:sz w:val="24"/>
                <w:szCs w:val="24"/>
              </w:rPr>
              <w:t>地理标志商标和地理标志保护产品</w:t>
            </w:r>
          </w:p>
        </w:tc>
        <w:tc>
          <w:tcPr>
            <w:tcW w:w="322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sz w:val="24"/>
                <w:szCs w:val="24"/>
                <w:lang w:eastAsia="zh-CN"/>
              </w:rPr>
            </w:pPr>
            <w:r>
              <w:rPr>
                <w:rFonts w:hint="eastAsia" w:ascii="仿宋" w:hAnsi="仿宋" w:eastAsia="仿宋"/>
                <w:sz w:val="24"/>
                <w:szCs w:val="24"/>
                <w:lang w:val="en-US" w:eastAsia="zh-CN"/>
              </w:rPr>
              <w:t>4</w:t>
            </w:r>
          </w:p>
        </w:tc>
        <w:tc>
          <w:tcPr>
            <w:tcW w:w="446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sz w:val="24"/>
                <w:szCs w:val="24"/>
              </w:rPr>
            </w:pPr>
            <w:r>
              <w:rPr>
                <w:rFonts w:hint="eastAsia" w:ascii="仿宋" w:hAnsi="仿宋" w:eastAsia="仿宋"/>
                <w:sz w:val="24"/>
                <w:szCs w:val="24"/>
              </w:rPr>
              <w:t>新增国家、省级工程技术研究中心</w:t>
            </w:r>
          </w:p>
        </w:tc>
        <w:tc>
          <w:tcPr>
            <w:tcW w:w="322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sz w:val="24"/>
                <w:szCs w:val="24"/>
                <w:lang w:eastAsia="zh-CN"/>
              </w:rPr>
            </w:pPr>
            <w:r>
              <w:rPr>
                <w:rFonts w:hint="eastAsia" w:ascii="仿宋" w:hAnsi="仿宋" w:eastAsia="仿宋"/>
                <w:sz w:val="24"/>
                <w:szCs w:val="24"/>
                <w:lang w:val="en-US" w:eastAsia="zh-CN"/>
              </w:rPr>
              <w:t>5</w:t>
            </w:r>
          </w:p>
        </w:tc>
        <w:tc>
          <w:tcPr>
            <w:tcW w:w="446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sz w:val="24"/>
                <w:szCs w:val="24"/>
              </w:rPr>
            </w:pPr>
            <w:r>
              <w:rPr>
                <w:rFonts w:hint="eastAsia" w:ascii="仿宋" w:hAnsi="仿宋" w:eastAsia="仿宋"/>
                <w:sz w:val="24"/>
                <w:szCs w:val="24"/>
              </w:rPr>
              <w:t>新增国家、省级企业技术中心</w:t>
            </w:r>
          </w:p>
        </w:tc>
        <w:tc>
          <w:tcPr>
            <w:tcW w:w="322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sz w:val="24"/>
                <w:szCs w:val="24"/>
              </w:rPr>
            </w:pPr>
            <w:r>
              <w:rPr>
                <w:rFonts w:hint="eastAsia" w:ascii="仿宋" w:hAnsi="仿宋" w:eastAsia="仿宋"/>
                <w:sz w:val="24"/>
                <w:szCs w:val="24"/>
              </w:rPr>
              <w:t>3</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（5）质量基础发展能力目标。到2025年，质量基础发展能 力整体跃升。计量、标准、检验检测、认证认可等质量基础设施 系统完整、高效运行，技术水平和服务能力进一步增强，对科技 进步、产业升级和社会治理的支撑更加有力。</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9"/>
        <w:gridCol w:w="4408"/>
        <w:gridCol w:w="3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3"/>
          </w:tcPr>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center"/>
              <w:textAlignment w:val="auto"/>
              <w:rPr>
                <w:rFonts w:ascii="仿宋" w:hAnsi="仿宋" w:eastAsia="仿宋"/>
                <w:sz w:val="24"/>
                <w:szCs w:val="24"/>
              </w:rPr>
            </w:pPr>
            <w:r>
              <w:rPr>
                <w:rFonts w:hint="eastAsia" w:ascii="仿宋" w:hAnsi="仿宋" w:eastAsia="仿宋"/>
                <w:sz w:val="24"/>
                <w:szCs w:val="24"/>
              </w:rPr>
              <w:t>专栏5质量基础发展能力量化指标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9"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sz w:val="24"/>
                <w:szCs w:val="24"/>
              </w:rPr>
            </w:pPr>
            <w:r>
              <w:rPr>
                <w:rFonts w:hint="eastAsia" w:ascii="仿宋" w:hAnsi="仿宋" w:eastAsia="仿宋"/>
                <w:sz w:val="24"/>
                <w:szCs w:val="24"/>
              </w:rPr>
              <w:t>类别</w:t>
            </w:r>
          </w:p>
        </w:tc>
        <w:tc>
          <w:tcPr>
            <w:tcW w:w="440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center"/>
              <w:textAlignment w:val="auto"/>
              <w:rPr>
                <w:rFonts w:ascii="仿宋" w:hAnsi="仿宋" w:eastAsia="仿宋"/>
                <w:sz w:val="24"/>
                <w:szCs w:val="24"/>
              </w:rPr>
            </w:pPr>
            <w:r>
              <w:rPr>
                <w:rFonts w:hint="eastAsia" w:ascii="仿宋" w:hAnsi="仿宋" w:eastAsia="仿宋"/>
                <w:sz w:val="24"/>
                <w:szCs w:val="24"/>
              </w:rPr>
              <w:t>指标项</w:t>
            </w:r>
          </w:p>
        </w:tc>
        <w:tc>
          <w:tcPr>
            <w:tcW w:w="3215"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center"/>
              <w:textAlignment w:val="auto"/>
              <w:rPr>
                <w:rFonts w:ascii="仿宋" w:hAnsi="仿宋" w:eastAsia="仿宋"/>
                <w:sz w:val="24"/>
                <w:szCs w:val="24"/>
              </w:rPr>
            </w:pPr>
            <w:r>
              <w:rPr>
                <w:rFonts w:hint="eastAsia" w:ascii="仿宋" w:hAnsi="仿宋" w:eastAsia="仿宋"/>
                <w:sz w:val="24"/>
                <w:szCs w:val="24"/>
              </w:rPr>
              <w:t>数量/质量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9"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sz w:val="24"/>
                <w:szCs w:val="24"/>
              </w:rPr>
            </w:pPr>
            <w:r>
              <w:rPr>
                <w:rFonts w:hint="eastAsia" w:ascii="仿宋" w:hAnsi="仿宋" w:eastAsia="仿宋"/>
                <w:sz w:val="24"/>
                <w:szCs w:val="24"/>
              </w:rPr>
              <w:t>1</w:t>
            </w:r>
          </w:p>
        </w:tc>
        <w:tc>
          <w:tcPr>
            <w:tcW w:w="440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center"/>
              <w:textAlignment w:val="auto"/>
              <w:rPr>
                <w:rFonts w:hint="eastAsia" w:ascii="仿宋" w:hAnsi="仿宋" w:eastAsia="仿宋"/>
                <w:sz w:val="24"/>
                <w:szCs w:val="24"/>
              </w:rPr>
            </w:pPr>
            <w:r>
              <w:rPr>
                <w:rFonts w:hint="eastAsia" w:ascii="仿宋" w:hAnsi="仿宋" w:eastAsia="仿宋"/>
                <w:sz w:val="24"/>
                <w:szCs w:val="24"/>
              </w:rPr>
              <w:t>国家标准</w:t>
            </w:r>
          </w:p>
        </w:tc>
        <w:tc>
          <w:tcPr>
            <w:tcW w:w="3215"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center"/>
              <w:textAlignment w:val="auto"/>
              <w:rPr>
                <w:rFonts w:hint="eastAsia" w:ascii="仿宋" w:hAnsi="仿宋" w:eastAsia="仿宋"/>
                <w:sz w:val="24"/>
                <w:szCs w:val="24"/>
              </w:rPr>
            </w:pPr>
            <w:r>
              <w:rPr>
                <w:rFonts w:hint="eastAsia" w:ascii="仿宋" w:hAnsi="仿宋" w:eastAsia="仿宋"/>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9"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sz w:val="24"/>
                <w:szCs w:val="24"/>
              </w:rPr>
            </w:pPr>
            <w:r>
              <w:rPr>
                <w:rFonts w:hint="eastAsia" w:ascii="仿宋" w:hAnsi="仿宋" w:eastAsia="仿宋"/>
                <w:sz w:val="24"/>
                <w:szCs w:val="24"/>
              </w:rPr>
              <w:t>2</w:t>
            </w:r>
          </w:p>
        </w:tc>
        <w:tc>
          <w:tcPr>
            <w:tcW w:w="440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center"/>
              <w:textAlignment w:val="auto"/>
              <w:rPr>
                <w:rFonts w:hint="eastAsia" w:ascii="仿宋" w:hAnsi="仿宋" w:eastAsia="仿宋"/>
                <w:sz w:val="24"/>
                <w:szCs w:val="24"/>
              </w:rPr>
            </w:pPr>
            <w:r>
              <w:rPr>
                <w:rFonts w:hint="eastAsia" w:ascii="仿宋" w:hAnsi="仿宋" w:eastAsia="仿宋"/>
                <w:sz w:val="24"/>
                <w:szCs w:val="24"/>
              </w:rPr>
              <w:t>地方标准</w:t>
            </w:r>
          </w:p>
        </w:tc>
        <w:tc>
          <w:tcPr>
            <w:tcW w:w="3215"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center"/>
              <w:textAlignment w:val="auto"/>
              <w:rPr>
                <w:rFonts w:hint="eastAsia" w:ascii="仿宋" w:hAnsi="仿宋" w:eastAsia="仿宋"/>
                <w:sz w:val="24"/>
                <w:szCs w:val="24"/>
              </w:rPr>
            </w:pPr>
            <w:r>
              <w:rPr>
                <w:rFonts w:hint="eastAsia" w:ascii="仿宋" w:hAnsi="仿宋" w:eastAsia="仿宋"/>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9"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sz w:val="24"/>
                <w:szCs w:val="24"/>
                <w:lang w:eastAsia="zh-CN"/>
              </w:rPr>
            </w:pPr>
            <w:r>
              <w:rPr>
                <w:rFonts w:hint="eastAsia" w:ascii="仿宋" w:hAnsi="仿宋" w:eastAsia="仿宋"/>
                <w:sz w:val="24"/>
                <w:szCs w:val="24"/>
                <w:lang w:val="en-US" w:eastAsia="zh-CN"/>
              </w:rPr>
              <w:t>3</w:t>
            </w:r>
          </w:p>
        </w:tc>
        <w:tc>
          <w:tcPr>
            <w:tcW w:w="440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center"/>
              <w:textAlignment w:val="auto"/>
              <w:rPr>
                <w:rFonts w:hint="eastAsia" w:ascii="仿宋" w:hAnsi="仿宋" w:eastAsia="仿宋"/>
                <w:sz w:val="24"/>
                <w:szCs w:val="24"/>
              </w:rPr>
            </w:pPr>
            <w:r>
              <w:rPr>
                <w:rFonts w:hint="eastAsia" w:ascii="仿宋" w:hAnsi="仿宋" w:eastAsia="仿宋"/>
                <w:sz w:val="24"/>
                <w:szCs w:val="24"/>
              </w:rPr>
              <w:t>社会公用计量标准总数</w:t>
            </w:r>
          </w:p>
        </w:tc>
        <w:tc>
          <w:tcPr>
            <w:tcW w:w="3215"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center"/>
              <w:textAlignment w:val="auto"/>
              <w:rPr>
                <w:rFonts w:hint="eastAsia" w:ascii="仿宋" w:hAnsi="仿宋" w:eastAsia="仿宋"/>
                <w:sz w:val="24"/>
                <w:szCs w:val="24"/>
              </w:rPr>
            </w:pPr>
            <w:r>
              <w:rPr>
                <w:rFonts w:hint="eastAsia" w:ascii="仿宋" w:hAnsi="仿宋" w:eastAsia="仿宋"/>
                <w:sz w:val="24"/>
                <w:szCs w:val="24"/>
              </w:rPr>
              <w:t>9</w:t>
            </w:r>
          </w:p>
        </w:tc>
      </w:tr>
    </w:tbl>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四、重点工作任务</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楷体" w:hAnsi="楷体" w:eastAsia="楷体"/>
          <w:sz w:val="32"/>
          <w:szCs w:val="32"/>
        </w:rPr>
      </w:pPr>
      <w:r>
        <w:rPr>
          <w:rFonts w:hint="eastAsia" w:ascii="楷体" w:hAnsi="楷体" w:eastAsia="楷体"/>
          <w:sz w:val="32"/>
          <w:szCs w:val="32"/>
        </w:rPr>
        <w:t>（一）深入实施质量强市战略，促进城市高质量发展</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坚持以提高发展质量和效益为中心，始终把质量摆在促进经济社会发展的战略位置来抓，在党委决策和政府部署中，明确依靠质量的政策方针，确保质量强市战略的稳定和长效。把质量元素融入全市发展的各领域和全过程，紧紧依靠质量发展提高核心竞争力，努力实现经济社会高质量发展。</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楷体" w:hAnsi="楷体" w:eastAsia="楷体"/>
          <w:sz w:val="32"/>
          <w:szCs w:val="32"/>
        </w:rPr>
      </w:pPr>
      <w:r>
        <w:rPr>
          <w:rFonts w:hint="eastAsia" w:ascii="楷体" w:hAnsi="楷体" w:eastAsia="楷体"/>
          <w:sz w:val="32"/>
          <w:szCs w:val="32"/>
        </w:rPr>
        <w:t>（二）建立四大工作机制，保障质量强市行稳致远</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color w:val="FF0000"/>
          <w:sz w:val="32"/>
          <w:szCs w:val="32"/>
        </w:rPr>
      </w:pPr>
      <w:r>
        <w:rPr>
          <w:rFonts w:hint="eastAsia" w:ascii="仿宋" w:hAnsi="仿宋" w:eastAsia="仿宋"/>
          <w:sz w:val="32"/>
          <w:szCs w:val="32"/>
        </w:rPr>
        <w:t>1.建立“大质量”工作机制。构建“党委领导、政府主导、部门联合、企业主责、社会参与”的大质量工作格局。一是加强对质量工作的组织领导，建立工作运行机制，强化责任落实。进一步优化调整新郑市质量强市战略工作领导小组，由新郑市主要领导担任组长，各职能部门积极参与，各乡（镇）、街道办设立质量工作领导小组，明确质量强市工作责任，确保全市质量工作一盘棋。二是强化企业质量主体责任意识，将发挥企业质量责任主体作用和市场配置资源的决定性作用放在突出位置。引导企业强化全面质量管理，建立首席质量官制度、推行先进质量管理模式、加强卓越绩效孵化基地建设。开展产品质量安全定期分析座谈交流及质量安全约谈制度，推进部门监管和企业自律相结合。三是强化质量工作考核，将质量工作考核纳入政府工作考核体系，科学制定质量工作考核指标体系，强化考核结果应用，严格质量责任追究，促进质量措施落到实处，推进质量强市建设。</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color w:val="FF0000"/>
          <w:sz w:val="32"/>
          <w:szCs w:val="32"/>
        </w:rPr>
      </w:pPr>
      <w:r>
        <w:rPr>
          <w:rFonts w:hint="eastAsia" w:ascii="仿宋" w:hAnsi="仿宋" w:eastAsia="仿宋"/>
          <w:sz w:val="32"/>
          <w:szCs w:val="32"/>
        </w:rPr>
        <w:t>2.建立新发展阶段“大监管”机制。一是转变监管理念，持续深化“放、管、服”制度改革及商事制度改革，探索行政审批与监管有效衔接机制。发挥监管部门政策服务优势，强化对市场主体的服务意识，为企业和群众提供更好的服务。二是加快构建以智慧监管为统领、“双随机、一公开”监管为基本手段、重点监管为补充、信用监管为基础的市场监管新机制。三是建立信用监管、大数据监管、综合监管、协同监管、审慎监管、包容监管、分类监管、信息公开监管、标准公开监管以及多元共治等新型监管的方法和工具，不断适应现代市场经济发展的要求。四是努力实现“监管程序规范化、监管证据视频化、监管 结果数据化、全程监管智慧化”的现代化监管模式。</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color w:val="00B050"/>
          <w:sz w:val="32"/>
          <w:szCs w:val="32"/>
        </w:rPr>
      </w:pPr>
      <w:r>
        <w:rPr>
          <w:rFonts w:hint="eastAsia" w:ascii="仿宋" w:hAnsi="仿宋" w:eastAsia="仿宋"/>
          <w:sz w:val="32"/>
          <w:szCs w:val="32"/>
        </w:rPr>
        <w:t>3.</w:t>
      </w:r>
      <w:r>
        <w:rPr>
          <w:rFonts w:hint="eastAsia"/>
        </w:rPr>
        <w:t xml:space="preserve"> </w:t>
      </w:r>
      <w:r>
        <w:rPr>
          <w:rFonts w:hint="eastAsia" w:ascii="仿宋" w:hAnsi="仿宋" w:eastAsia="仿宋"/>
          <w:sz w:val="32"/>
          <w:szCs w:val="32"/>
        </w:rPr>
        <w:t>构建质量全民共治共享机制。创新质量治理模式，注重社会各方参与，完善政府、行业协会、企业、消费者多方参与的质量共建共治共享机制。构建市场主体自治、行业自律、社会监督、政府监管的质量共治格局。发挥行业协会自我教育、自我管理、自我服务、自我约束及与政府、消费者或消费者组织之间的协调功能。强化质量社会监督和舆论监督，充分发挥行业组织、新闻媒体、消费者等社会监督作用。</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color w:val="00B050"/>
          <w:sz w:val="32"/>
          <w:szCs w:val="32"/>
        </w:rPr>
      </w:pPr>
      <w:r>
        <w:rPr>
          <w:rFonts w:hint="eastAsia" w:ascii="仿宋" w:hAnsi="仿宋" w:eastAsia="仿宋"/>
          <w:sz w:val="32"/>
          <w:szCs w:val="32"/>
        </w:rPr>
        <w:t>4.探索高质量发展评价机制。加强宏观质量统计分析。应用质量大数据、质量风险分析模型、消费安全分析模型、产品检验检测、服务质量评价、顾客消费体验等方法和工具开展质量水平评价。探索建立高质量发展质量指标评价体系，积极开展制造业竞争力指数、质量状况分析报告、公共服务满意度测评、品牌价值评价、区域或行业经济发展质量评价等。定期开展质量强市效果评估工作，分析质量状况及质量竞争力水平，以评估促进质量提升工作的落地和执行，为政府宏观经济决策提供依据。</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楷体" w:hAnsi="楷体" w:eastAsia="楷体"/>
          <w:sz w:val="32"/>
          <w:szCs w:val="32"/>
        </w:rPr>
      </w:pPr>
      <w:r>
        <w:rPr>
          <w:rFonts w:hint="eastAsia" w:ascii="楷体" w:hAnsi="楷体" w:eastAsia="楷体"/>
          <w:sz w:val="32"/>
          <w:szCs w:val="32"/>
        </w:rPr>
        <w:t>（三）开展质量提升行动</w:t>
      </w:r>
    </w:p>
    <w:p>
      <w:pPr>
        <w:keepNext w:val="0"/>
        <w:keepLines w:val="0"/>
        <w:pageBreakBefore w:val="0"/>
        <w:widowControl w:val="0"/>
        <w:shd w:val="clear" w:color="auto" w:fill="FFFFFF"/>
        <w:kinsoku/>
        <w:wordWrap/>
        <w:overflowPunct/>
        <w:topLinePunct w:val="0"/>
        <w:autoSpaceDE w:val="0"/>
        <w:autoSpaceDN w:val="0"/>
        <w:bidi w:val="0"/>
        <w:adjustRightInd/>
        <w:snapToGrid/>
        <w:spacing w:line="560" w:lineRule="exact"/>
        <w:ind w:firstLine="636" w:firstLineChars="200"/>
        <w:textAlignment w:val="auto"/>
        <w:rPr>
          <w:rFonts w:ascii="仿宋" w:hAnsi="仿宋" w:eastAsia="仿宋" w:cs="Times New Roman"/>
          <w:bCs/>
          <w:spacing w:val="-1"/>
          <w:kern w:val="0"/>
          <w:sz w:val="32"/>
          <w:szCs w:val="32"/>
        </w:rPr>
      </w:pPr>
      <w:r>
        <w:rPr>
          <w:rFonts w:hint="eastAsia" w:ascii="仿宋" w:hAnsi="仿宋" w:eastAsia="仿宋" w:cs="Times New Roman"/>
          <w:bCs/>
          <w:spacing w:val="-1"/>
          <w:kern w:val="0"/>
          <w:sz w:val="32"/>
          <w:szCs w:val="32"/>
        </w:rPr>
        <w:t>1.开展制造业质量提升行动</w:t>
      </w:r>
    </w:p>
    <w:p>
      <w:pPr>
        <w:keepNext w:val="0"/>
        <w:keepLines w:val="0"/>
        <w:pageBreakBefore w:val="0"/>
        <w:widowControl w:val="0"/>
        <w:shd w:val="clear" w:color="auto" w:fill="FFFFFF"/>
        <w:kinsoku/>
        <w:wordWrap/>
        <w:overflowPunct/>
        <w:topLinePunct w:val="0"/>
        <w:autoSpaceDE w:val="0"/>
        <w:autoSpaceDN w:val="0"/>
        <w:bidi w:val="0"/>
        <w:adjustRightInd/>
        <w:snapToGrid/>
        <w:spacing w:line="560" w:lineRule="exact"/>
        <w:ind w:firstLine="636" w:firstLineChars="200"/>
        <w:textAlignment w:val="auto"/>
        <w:rPr>
          <w:rFonts w:ascii="仿宋" w:hAnsi="仿宋" w:eastAsia="仿宋" w:cs="Times New Roman"/>
          <w:bCs/>
          <w:spacing w:val="-1"/>
          <w:kern w:val="0"/>
          <w:sz w:val="32"/>
          <w:szCs w:val="32"/>
        </w:rPr>
      </w:pPr>
      <w:r>
        <w:rPr>
          <w:rFonts w:hint="eastAsia" w:ascii="仿宋" w:hAnsi="仿宋" w:eastAsia="仿宋" w:cs="Times New Roman"/>
          <w:bCs/>
          <w:spacing w:val="-1"/>
          <w:kern w:val="0"/>
          <w:sz w:val="32"/>
          <w:szCs w:val="32"/>
        </w:rPr>
        <w:t>（1）坚持制造强市战略，大力推动制造业高端化、智能化集聚化发展，加快传统支柱产业转型升级，提升制造业核心竞争力。积极推进工业“三大改造”工程，加快推进制造业数字化、网络化、智能化、绿色化发展，实现制造业由量大到质强的新跨越。大力开展“亩均论英雄”综合评价,落实差别化激励约束政策,倒逼传统产业延长链条、提质发展。积极开展国家级、省级先进装备制造、智能制造、高新技术产业等标准化园区，质量品牌提升示范区或产业集聚区，质量品牌示范企业或质量标杆企业的创建工作。</w:t>
      </w:r>
    </w:p>
    <w:p>
      <w:pPr>
        <w:keepNext w:val="0"/>
        <w:keepLines w:val="0"/>
        <w:pageBreakBefore w:val="0"/>
        <w:widowControl w:val="0"/>
        <w:shd w:val="clear" w:color="auto" w:fill="FFFFFF"/>
        <w:kinsoku/>
        <w:wordWrap/>
        <w:overflowPunct/>
        <w:topLinePunct w:val="0"/>
        <w:autoSpaceDE w:val="0"/>
        <w:autoSpaceDN w:val="0"/>
        <w:bidi w:val="0"/>
        <w:adjustRightInd/>
        <w:snapToGrid/>
        <w:spacing w:line="560" w:lineRule="exact"/>
        <w:ind w:firstLine="636" w:firstLineChars="200"/>
        <w:textAlignment w:val="auto"/>
        <w:rPr>
          <w:rFonts w:ascii="仿宋" w:hAnsi="仿宋" w:eastAsia="仿宋" w:cs="Times New Roman"/>
          <w:bCs/>
          <w:spacing w:val="-1"/>
          <w:kern w:val="0"/>
          <w:sz w:val="32"/>
          <w:szCs w:val="32"/>
        </w:rPr>
      </w:pPr>
      <w:r>
        <w:rPr>
          <w:rFonts w:hint="eastAsia" w:ascii="仿宋" w:hAnsi="仿宋" w:eastAsia="仿宋" w:cs="Times New Roman"/>
          <w:bCs/>
          <w:spacing w:val="-1"/>
          <w:kern w:val="0"/>
          <w:sz w:val="32"/>
          <w:szCs w:val="32"/>
        </w:rPr>
        <w:t>（2）大力培育战略性新兴产业, 大力发展电子信息产业。着力发展新型显示及终端、集成电路、智能硬件三大核心产业及5G通信、工业电子两大支撑产业,打造“3+2”的电子信息产业体系和“芯”“屏”“网”完整联动的产业链。2025年争取战略性新兴产业增加值占全市规上工业增加值比重超过30%。</w:t>
      </w:r>
    </w:p>
    <w:p>
      <w:pPr>
        <w:keepNext w:val="0"/>
        <w:keepLines w:val="0"/>
        <w:pageBreakBefore w:val="0"/>
        <w:widowControl w:val="0"/>
        <w:shd w:val="clear" w:color="auto" w:fill="FFFFFF"/>
        <w:kinsoku/>
        <w:wordWrap/>
        <w:overflowPunct/>
        <w:topLinePunct w:val="0"/>
        <w:autoSpaceDE w:val="0"/>
        <w:autoSpaceDN w:val="0"/>
        <w:bidi w:val="0"/>
        <w:adjustRightInd/>
        <w:snapToGrid/>
        <w:spacing w:line="560" w:lineRule="exact"/>
        <w:ind w:firstLine="636" w:firstLineChars="200"/>
        <w:textAlignment w:val="auto"/>
        <w:rPr>
          <w:rFonts w:ascii="仿宋" w:hAnsi="仿宋" w:eastAsia="仿宋" w:cs="Times New Roman"/>
          <w:bCs/>
          <w:spacing w:val="-1"/>
          <w:kern w:val="0"/>
          <w:sz w:val="32"/>
          <w:szCs w:val="32"/>
        </w:rPr>
      </w:pPr>
      <w:r>
        <w:rPr>
          <w:rFonts w:hint="eastAsia" w:ascii="仿宋" w:hAnsi="仿宋" w:eastAsia="仿宋" w:cs="Times New Roman"/>
          <w:bCs/>
          <w:spacing w:val="-1"/>
          <w:kern w:val="0"/>
          <w:sz w:val="32"/>
          <w:szCs w:val="32"/>
        </w:rPr>
        <w:t>（3）转型升级传统支柱产业。健康食品产业重点实施“三品”(增品种、提品质、创品牌)战略,依托好想你健康食品、达利食品、光明乳业、华润雪花啤酒等食品龙头企业带动作用,巩固我市食品加工传统产业优势,加快发展健康食品、功能休闲食品、航空食品等新兴行业,推进产业链向食品冷链物流、食品旅游观光等领域延展,提升食品加工产业现代化、智能化水平,加快食品工业向安全、绿色、高端和品牌化转变,促进全产业融合发展。力争到2025年,健康食品制造产业实现产值300亿元。</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2.开展农产品、食品药品质量提升行动</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color w:val="00B050"/>
          <w:sz w:val="32"/>
          <w:szCs w:val="32"/>
        </w:rPr>
      </w:pPr>
      <w:r>
        <w:rPr>
          <w:rFonts w:hint="eastAsia" w:ascii="仿宋" w:hAnsi="仿宋" w:eastAsia="仿宋"/>
          <w:sz w:val="32"/>
          <w:szCs w:val="32"/>
        </w:rPr>
        <w:t>（1）大力实施乡村振兴战略，深入推进农业供给侧结构性改革。坚持科技引领、创新驱动和质量兴农、绿色兴农、品牌强农。加快培育壮大新型农业经营主体，开展农民合作社规范提升行动，实施家庭农场培育计划。健全农产品质量标准体系，实施农业标准化生产和良好农业规范。加快高标准农田建设，加大耕地质量保护和土壤修复力度。推行种养殖清洁生产，强化农业投入品监管，严格规范农药、抗生素、激素类药物和化肥使用。积极开展高标准 “菜篮子”生产示范基地建设</w:t>
      </w:r>
      <w:r>
        <w:rPr>
          <w:rFonts w:hint="eastAsia" w:ascii="仿宋" w:hAnsi="仿宋" w:eastAsia="仿宋"/>
          <w:color w:val="000000" w:themeColor="text1"/>
          <w:sz w:val="32"/>
          <w:szCs w:val="32"/>
          <w14:textFill>
            <w14:solidFill>
              <w14:schemeClr w14:val="tx1"/>
            </w14:solidFill>
          </w14:textFill>
        </w:rPr>
        <w:t>，高标准建设郑州市级以上现代农业产业园</w:t>
      </w:r>
      <w:r>
        <w:rPr>
          <w:rFonts w:hint="eastAsia" w:ascii="仿宋" w:hAnsi="仿宋" w:eastAsia="仿宋"/>
          <w:color w:val="000000" w:themeColor="text1"/>
          <w:sz w:val="32"/>
          <w:szCs w:val="32"/>
          <w:lang w:val="en-US" w:eastAsia="zh-CN"/>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个,引进高产高效农业技术</w:t>
      </w:r>
      <w:r>
        <w:rPr>
          <w:rFonts w:hint="eastAsia" w:ascii="仿宋" w:hAnsi="仿宋" w:eastAsia="仿宋"/>
          <w:color w:val="000000" w:themeColor="text1"/>
          <w:sz w:val="32"/>
          <w:szCs w:val="32"/>
          <w:lang w:val="en-US" w:eastAsia="zh-CN"/>
          <w14:textFill>
            <w14:solidFill>
              <w14:schemeClr w14:val="tx1"/>
            </w14:solidFill>
          </w14:textFill>
        </w:rPr>
        <w:t>7</w:t>
      </w:r>
      <w:r>
        <w:rPr>
          <w:rFonts w:hint="eastAsia" w:ascii="仿宋" w:hAnsi="仿宋" w:eastAsia="仿宋"/>
          <w:color w:val="000000" w:themeColor="text1"/>
          <w:sz w:val="32"/>
          <w:szCs w:val="32"/>
          <w14:textFill>
            <w14:solidFill>
              <w14:schemeClr w14:val="tx1"/>
            </w14:solidFill>
          </w14:textFill>
        </w:rPr>
        <w:t>项以上、新品种</w:t>
      </w:r>
      <w:r>
        <w:rPr>
          <w:rFonts w:hint="eastAsia" w:ascii="仿宋" w:hAnsi="仿宋" w:eastAsia="仿宋"/>
          <w:color w:val="000000" w:themeColor="text1"/>
          <w:sz w:val="32"/>
          <w:szCs w:val="32"/>
          <w:lang w:val="en-US" w:eastAsia="zh-CN"/>
          <w14:textFill>
            <w14:solidFill>
              <w14:schemeClr w14:val="tx1"/>
            </w14:solidFill>
          </w14:textFill>
        </w:rPr>
        <w:t>10</w:t>
      </w:r>
      <w:r>
        <w:rPr>
          <w:rFonts w:hint="eastAsia" w:ascii="仿宋" w:hAnsi="仿宋" w:eastAsia="仿宋"/>
          <w:color w:val="000000" w:themeColor="text1"/>
          <w:sz w:val="32"/>
          <w:szCs w:val="32"/>
          <w14:textFill>
            <w14:solidFill>
              <w14:schemeClr w14:val="tx1"/>
            </w14:solidFill>
          </w14:textFill>
        </w:rPr>
        <w:t>个以上,展示粮食作物新品种</w:t>
      </w:r>
      <w:r>
        <w:rPr>
          <w:rFonts w:hint="eastAsia" w:ascii="仿宋" w:hAnsi="仿宋" w:eastAsia="仿宋"/>
          <w:color w:val="000000" w:themeColor="text1"/>
          <w:sz w:val="32"/>
          <w:szCs w:val="32"/>
          <w:lang w:val="en-US" w:eastAsia="zh-CN"/>
          <w14:textFill>
            <w14:solidFill>
              <w14:schemeClr w14:val="tx1"/>
            </w14:solidFill>
          </w14:textFill>
        </w:rPr>
        <w:t>8</w:t>
      </w:r>
      <w:r>
        <w:rPr>
          <w:rFonts w:hint="eastAsia" w:ascii="仿宋" w:hAnsi="仿宋" w:eastAsia="仿宋"/>
          <w:color w:val="000000" w:themeColor="text1"/>
          <w:sz w:val="32"/>
          <w:szCs w:val="32"/>
          <w14:textFill>
            <w14:solidFill>
              <w14:schemeClr w14:val="tx1"/>
            </w14:solidFill>
          </w14:textFill>
        </w:rPr>
        <w:t>个以上。大力发展农产品初加工和精深加工，提高绿色产品供给比重，提升农产品附加值。</w:t>
      </w:r>
      <w:r>
        <w:rPr>
          <w:rFonts w:hint="eastAsia" w:ascii="仿宋" w:hAnsi="仿宋" w:eastAsia="仿宋"/>
          <w:sz w:val="32"/>
          <w:szCs w:val="32"/>
        </w:rPr>
        <w:t>建立完善食品及食用农产品全过程可追溯机制，通过商户二维码、商品二维码、交易二维码，实现从农田到餐桌的食品安全信息全程追溯。</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2）实施骨干食品企业促进计划，推进传统主食工业化、标准化生产，发展方便食品、速冻食品等现代食品产业。深入推行食品安全“6S”标准化管理。在食品生产环节深入开展“互联网+透明车间”、在餐饮服务单位深入开展“互联网+明厨亮灶”建设工作。完善药品、医疗器械不良反应监测机制，加强药品零售企业分级分类管理，保障药品质量安全。</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3.开展服务业质量提升行动</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1）开展现代服务业质量提升行动，力争到2025年,服务业增加值超过650亿元,年均增长超过7.5%。促进生产性服务业专业化发展，向价值链高端延伸。提档升级现代物流业，提高物流全链条服务质量，加强物流标准化建设，依托薛店铁路物流基地、传化物流小镇等重大项目,加快提升我市物流业发展能级,打造成为郑州南部重要的商贸服务型现代物流枢纽。力争到2025年,全市物流业增加值突破150亿元,A 级以上物流企业达到10家以上。不断提升电子商务服务质量。依托我市红枣、樱桃等特色产品、泰山村千稼集景区等,推动网红直播带货。构建跨境电商产业生态，探索面向全球网络直购的C2M 制造模式。依托华南城跨境电子商务产业园,加快建设新一批省市级跨境电子商务产业示范园区。</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2）提高生活性服务业品质。推动社区基础服务设施达标。结合推进城镇老旧小区改造和城市居住社区建设补短板，建设社区综合服务设施，统筹设置幼儿园、托育点、养老服务设施、卫生服务中心（站）、微型消防站、体育健身设施、家政服务点、维修点、便利店、菜店、食堂以及公共阅读和双创空间等。完善老年人、儿童和残疾人服务设施。支持以企业为主体、在养老、育幼、家政、物业服务等领域开展服务业标准化试点，推出一批标杆化服务标准。完善以居家为基础、社区为依托、机构为补充、医养相结合的多层次、智能化养老服务体系。大力招引慢病管理、康复疗养、精密体检、养老服务等领域的优质医疗企业入驻,提升优质医疗服务水平。开展家政服务业提质扩容“领跑者”行动，鼓励家政企业创建服务品牌。发展大众化餐饮，引导餐饮企业建立集中采购、统一配送、规范化生产、连锁化经营的生产模式。积极打造消费新兴业态,加快发展创新型夜间经济,在主城区、新区、龙湖片区等重点区域,建设一批地标性夜生活集聚区,打造以娱乐休闲、文化体验为主线的“新郑夜生活”品牌。推广实施优质服务承诺标识和管理制度，培育知名服务品牌。</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3）着力培育科技服务业。紧紧围绕电子信息、健康食品等主导产业和生物医药、智能装备制造等主导新兴产业,着力培育研发、工业设计、智能制造、检验检测、智能物流等科技服务业,积极申建国家级、省级质检中心和跨境电商检验检测平台,支持打造智能制造公共服务平台。力争到2025年,新增3-5家省级以上智能制造和服务型制造试点示范项目,创建工业设计、服务外包等各类国家、省级试点示范5-10家。</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4.开展建设工程质量提升行动</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1）高质量建设和改造城乡道路交通设施、供热供水设施、排水与污水处理设施。规范重大项目基本建设程序，坚持科学论证、科学决策，加强重大工程的投资咨询、建设监理、设备监理，保障工程项目投资效益和重大设备质量。全面落实工程参建各方主体质量责任，强化建设单位首要责任和勘察、设计、施工单位主体责任。建设单位应加强对工程建设全过程的质量管理，严格履行法定程序和质量责任，建立工程质量信息公示制度。施工单位应完善质量管理体系，建立岗位责任制度，设置质量管理机构，配备专职质量负责人，加强全面质量管理。推行工程质量安全手册制度，推进工程质量管理标准化。规范建材市场秩序。强化预拌混凝土生产、运输、使用环节的质量管理。建立从生产到使用全过程的建材质量追溯机制。大力发展装配式建筑。</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楷体" w:hAnsi="楷体" w:eastAsia="楷体"/>
          <w:sz w:val="32"/>
          <w:szCs w:val="32"/>
        </w:rPr>
      </w:pPr>
      <w:r>
        <w:rPr>
          <w:rFonts w:hint="eastAsia" w:ascii="仿宋" w:hAnsi="仿宋" w:eastAsia="仿宋"/>
          <w:sz w:val="32"/>
          <w:szCs w:val="32"/>
        </w:rPr>
        <w:t>（2）建立健全绿色建筑标准体系，大力推广绿色设计、绿色施工、绿色建材，推动建筑节能改造和可再生能源利用。推进绿色生态小区建设。加强建筑业从业人员职业教育，大力开展建筑工人职业技能培训，鼓励建立职业培训实训基地。推行建筑工人实名制管理，促进企业使用符合岗位要求的技能工人。</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楷体" w:hAnsi="楷体" w:eastAsia="楷体"/>
          <w:sz w:val="32"/>
          <w:szCs w:val="32"/>
        </w:rPr>
      </w:pPr>
      <w:r>
        <w:rPr>
          <w:rFonts w:hint="eastAsia" w:ascii="仿宋" w:hAnsi="仿宋" w:eastAsia="仿宋"/>
          <w:sz w:val="32"/>
          <w:szCs w:val="32"/>
        </w:rPr>
        <w:t>5.开展文化和旅游质量提升行动</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（1）实施文化特色彰显工程,</w:t>
      </w:r>
      <w:r>
        <w:rPr>
          <w:rFonts w:hint="eastAsia"/>
        </w:rPr>
        <w:t xml:space="preserve"> </w:t>
      </w:r>
      <w:r>
        <w:rPr>
          <w:rFonts w:hint="eastAsia" w:ascii="仿宋" w:hAnsi="仿宋" w:eastAsia="仿宋"/>
          <w:sz w:val="32"/>
          <w:szCs w:val="32"/>
        </w:rPr>
        <w:t>打造“根祖文化”品牌。 充分挖掘保护传承历史文化资源,推进文旅产业融合发展,积极推进黄帝文化、根亲文化、郑韩文化与黄河文化的有机融合,建设成为环嵩山文化带、郑汴洛世界级文化旅游带的重要节点。构建以黄帝文化为龙头多元丰富的城市文旅新格局，充分彰显城市文化特色，打造全球华人寻根祭祖的重要平台和以黄帝文化为特色的国家历史文化名城。</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 xml:space="preserve">（2）实施旅游服务质量提升计划，高标准规划建设黄帝故里园区,高规格举办黄帝故里拜祖大典。精心打造一批特色旅游线路，加快旅游交通、旅游标识、旅游风景道、智慧旅游等旅游基础设施建设,推动旅游景区、旅游饭店、酒店等旅游企业提档升级，提升旅游服务质量。积极实施旅游标准化建设,不断完善旅游服务功能,提升旅游服务水平，旅游服务业标准化普及率超过 40%。持续改善旅游市场秩序，培育扶持一批文化旅游骨干企业和领军企业，培育 4A 级旅游景区 </w:t>
      </w:r>
      <w:r>
        <w:rPr>
          <w:rFonts w:hint="eastAsia" w:ascii="仿宋" w:hAnsi="仿宋" w:eastAsia="仿宋"/>
          <w:sz w:val="32"/>
          <w:szCs w:val="32"/>
          <w:highlight w:val="none"/>
        </w:rPr>
        <w:t>1</w:t>
      </w:r>
      <w:r>
        <w:rPr>
          <w:rFonts w:hint="eastAsia" w:ascii="仿宋" w:hAnsi="仿宋" w:eastAsia="仿宋"/>
          <w:sz w:val="32"/>
          <w:szCs w:val="32"/>
        </w:rPr>
        <w:t>个。不断提升黄帝文化品牌知名度。到2025年,国内旅游人数突破</w:t>
      </w:r>
      <w:r>
        <w:rPr>
          <w:rFonts w:hint="eastAsia" w:ascii="仿宋" w:hAnsi="仿宋" w:eastAsia="仿宋"/>
          <w:sz w:val="32"/>
          <w:szCs w:val="32"/>
          <w:highlight w:val="none"/>
        </w:rPr>
        <w:t>800</w:t>
      </w:r>
      <w:r>
        <w:rPr>
          <w:rFonts w:hint="eastAsia" w:ascii="仿宋" w:hAnsi="仿宋" w:eastAsia="仿宋"/>
          <w:sz w:val="32"/>
          <w:szCs w:val="32"/>
        </w:rPr>
        <w:t>万人次,国内旅游收入达到</w:t>
      </w:r>
      <w:r>
        <w:rPr>
          <w:rFonts w:hint="eastAsia" w:ascii="仿宋" w:hAnsi="仿宋" w:eastAsia="仿宋"/>
          <w:sz w:val="32"/>
          <w:szCs w:val="32"/>
          <w:highlight w:val="none"/>
        </w:rPr>
        <w:t>30</w:t>
      </w:r>
      <w:r>
        <w:rPr>
          <w:rFonts w:hint="eastAsia" w:ascii="仿宋" w:hAnsi="仿宋" w:eastAsia="仿宋"/>
          <w:sz w:val="32"/>
          <w:szCs w:val="32"/>
        </w:rPr>
        <w:t>亿元,创成省级全域旅游示范区。</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6.开展城市品质质量提升行动</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1）优化城市功能布局。坚持国际视野、一流标准、新郑特色,科学编制专项规划和重点区域、重要节点城市设计。统筹区域协调发展，着力构建“双中心引领、多点支撑、区域联动、功能互补”的城乡发展新格局。</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sz w:val="32"/>
          <w:szCs w:val="32"/>
        </w:rPr>
        <w:t>（2）提升城市建设品质。弘扬工匠精神,下足绣花功夫、锻造钻石品质,不断提升城市品位和综合承载力。优化城镇路网结构提高道路通行能力。推进新型基础设施建设。推动5G基站全覆盖建设，大力提升5G基站覆盖率。加快城市充电站(桩)建设，力争到</w:t>
      </w:r>
      <w:r>
        <w:rPr>
          <w:rFonts w:ascii="仿宋" w:hAnsi="仿宋" w:eastAsia="仿宋"/>
          <w:sz w:val="32"/>
          <w:szCs w:val="32"/>
        </w:rPr>
        <w:t>2025</w:t>
      </w:r>
      <w:r>
        <w:rPr>
          <w:rFonts w:hint="eastAsia" w:ascii="仿宋" w:hAnsi="仿宋" w:eastAsia="仿宋"/>
          <w:sz w:val="32"/>
          <w:szCs w:val="32"/>
        </w:rPr>
        <w:t>年</w:t>
      </w:r>
      <w:r>
        <w:rPr>
          <w:rFonts w:ascii="仿宋" w:hAnsi="仿宋" w:eastAsia="仿宋"/>
          <w:sz w:val="32"/>
          <w:szCs w:val="32"/>
        </w:rPr>
        <w:t>,</w:t>
      </w:r>
      <w:r>
        <w:rPr>
          <w:rFonts w:hint="eastAsia" w:ascii="仿宋" w:hAnsi="仿宋" w:eastAsia="仿宋"/>
          <w:sz w:val="32"/>
          <w:szCs w:val="32"/>
        </w:rPr>
        <w:t>建成区公共充电服务半径小于</w:t>
      </w:r>
      <w:r>
        <w:rPr>
          <w:rFonts w:ascii="仿宋" w:hAnsi="仿宋" w:eastAsia="仿宋"/>
          <w:sz w:val="32"/>
          <w:szCs w:val="32"/>
        </w:rPr>
        <w:t>2</w:t>
      </w:r>
      <w:r>
        <w:rPr>
          <w:rFonts w:hint="eastAsia" w:ascii="仿宋" w:hAnsi="仿宋" w:eastAsia="仿宋"/>
          <w:sz w:val="32"/>
          <w:szCs w:val="32"/>
        </w:rPr>
        <w:t>公里。补齐市政基础设施短板。完善供水、供热和电力设施保障，力争到2025年,实现城区供热全覆盖。</w:t>
      </w:r>
      <w:r>
        <w:rPr>
          <w:rFonts w:hint="eastAsia" w:ascii="仿宋" w:hAnsi="仿宋" w:eastAsia="仿宋"/>
          <w:color w:val="000000" w:themeColor="text1"/>
          <w:sz w:val="32"/>
          <w:szCs w:val="32"/>
          <w:highlight w:val="none"/>
          <w14:textFill>
            <w14:solidFill>
              <w14:schemeClr w14:val="tx1"/>
            </w14:solidFill>
          </w14:textFill>
        </w:rPr>
        <w:t>加强污水集中处理设施建设力争到2025年,建成区污水集中处理率达到80%。加强垃圾焚烧发电厂日常监管，确保垃圾焚烧发电资源化处理率达100%,完善生活垃圾的分类投放、收集、转运、处置体系,不断提高生活垃圾减量化、资源化和无害化处理水平,实现城镇生活垃圾处理全覆盖。</w:t>
      </w:r>
      <w:r>
        <w:rPr>
          <w:rFonts w:hint="eastAsia" w:ascii="仿宋" w:hAnsi="仿宋" w:eastAsia="仿宋"/>
          <w:color w:val="000000" w:themeColor="text1"/>
          <w:sz w:val="32"/>
          <w:szCs w:val="32"/>
          <w14:textFill>
            <w14:solidFill>
              <w14:schemeClr w14:val="tx1"/>
            </w14:solidFill>
          </w14:textFill>
        </w:rPr>
        <w:t>以“三项工程、一项管理”为抓手，推进城市有机更新，加快老旧小区改造。</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color w:val="000000" w:themeColor="text1"/>
          <w:sz w:val="32"/>
          <w:szCs w:val="32"/>
          <w14:textFill>
            <w14:solidFill>
              <w14:schemeClr w14:val="tx1"/>
            </w14:solidFill>
          </w14:textFill>
        </w:rPr>
        <w:t>（3）提升城市景观建筑风貌。增强历史文化映像。提炼黄帝文化内涵,将文化元素和历史韵味融入城市规划建设全过程,让历史文脉传承和现代城市建设有机融合。推进美丽街区建设，将明清南街古巷改造提升为历史文化精品街,展现明清县城文化。创新城市家具设计。以黄帝文化元素为城市文化主符号,以剪影、图像等形式用于城市标识牌、公</w:t>
      </w:r>
      <w:r>
        <w:rPr>
          <w:rFonts w:hint="eastAsia" w:ascii="仿宋" w:hAnsi="仿宋" w:eastAsia="仿宋"/>
          <w:sz w:val="32"/>
          <w:szCs w:val="32"/>
        </w:rPr>
        <w:t>交站、座椅、垃圾桶、路灯杆等城市家具小品设计。</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7.开展政府服务质量提升行动。</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1）加快服务型政府建设，全面落实《优化营商环境条例》,持续深化工程建设项目审批、企业注册登记、不动产交易登记、破产案件办理等重点领域改革,全面清理规范审批环节,压减审批事项,进一步降低准入门槛。大力开展“互联网+政务服务”,加快政务服务线上线下融合,推行不见面审批,真正做到审批流程全覆盖、系统之外无审批。加快推进“一网通办、一次办成”等政务服务事项提质扩容,实现群众办事“跑一次腿、进一扇门、办一件事”。推动“一证办”扩容增效,扩大“掌上办”应用范围,强化与“豫事办”APP、“郑好办”APP的衔接融合,为群众提供更多支持移动终端办理的政务服务事项。扩大“就近办”覆盖乡村,推进“店小二、保姆式”服务。打造全国一流公共资源交易平台,实施公共资源交易标准化建设,建立完善工程招投标领域投诉处理机制,探索公共资源交易领域供给侧服务,不断提高公共资源交易效率效能。到2025年,全市各领域营商环境全面进入国内先进行列,政务服务便利度、包容普惠创新等部分指标达到国际先进水平,成为全国营商环境新高地。</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2）加快政府职能转变，强化政府在公共产品和公共服务供给方面的责任,加强政府基本公共服务标准体系建设，不断提升公共产品供给质量,推进基本公共服务均等化、普惠化、便捷化。全面推进基层政务公开标准化，推进政府事权的规范化、透明化。加快完善政务服务体系,以数据信息共享为支撑,打破信息壁垒,推动政务服务系统对接,打通有效数据,构建整体协同、创新高效、集约共享、可持续的政务服务体系。</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楷体" w:hAnsi="楷体" w:eastAsia="楷体"/>
          <w:sz w:val="32"/>
          <w:szCs w:val="32"/>
        </w:rPr>
      </w:pPr>
      <w:r>
        <w:rPr>
          <w:rFonts w:hint="eastAsia" w:ascii="楷体" w:hAnsi="楷体" w:eastAsia="楷体"/>
          <w:sz w:val="32"/>
          <w:szCs w:val="32"/>
        </w:rPr>
        <w:t>（四）加强知识产权保护</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1.落实知识产权促进政策。贯彻落实《知识产权强国战略纲要（2021—2035 ）》和《“十四五”国家知识产权保护和运用规划》，做好全市知识产权战略和规划的制定和实施工作。加大对知识产权成绩显著的企事业单位的激励。积极利用知识产权实施商标品牌战略。加大国家、省、市级知识产权优势企业培育。引导企业加强知识产权战略设计和管理创新，支持知识产权运用转化，激活知识产权市场价值。</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2.加强商标管理。加强行政指导，引导各类市场主体加强商标注册。积极推进河南省商标品牌基地建设，鼓励支持市场主体充分运用商标管理，加快商标品牌化进程。引导企业加强品牌资产管理，防止无形资产流失。鼓励企业运用商标权进行投资入股、质押融资、许可使用、转让等，提升商标品牌价值。</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楷体" w:hAnsi="楷体" w:eastAsia="楷体"/>
          <w:sz w:val="32"/>
          <w:szCs w:val="32"/>
        </w:rPr>
      </w:pPr>
      <w:r>
        <w:rPr>
          <w:rFonts w:hint="eastAsia" w:ascii="楷体" w:hAnsi="楷体" w:eastAsia="楷体"/>
          <w:sz w:val="32"/>
          <w:szCs w:val="32"/>
        </w:rPr>
        <w:t>（五）实施品牌带动战略</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1.建设品牌培育机制。进一步加强对品牌建设的统筹规划，制定品牌发展规划，形成品牌建设梯队。完善品牌培育机制，通过自主创新、品牌经营、地理标志保护、商标注册、专利申请等手段，大力培育一批、扶持一批全国性的优势品牌。开展“中国品牌日”活动，引导企业参与各级各类质量奖、标杆企业评定工作，支持优势企业参与品牌价值测评工作，表彰奖励一批质量长期稳定、技术标准水平领先、市场占有率高、消费者满意、信誉度高的名牌产品生产企业，弘扬先进典型，增强品牌意识。</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2.打造新郑知名品牌。以产业聚集区、专业园区为重点，积极创建“知名品牌创建示范区”。扩大品牌影响，形成一批质量水平一流的现代产业集群，带动产业转型升级。聚焦现代农业、食品工业、电子信息产业、医药产业、现代服务业、战略性新兴产业加大品牌培育力度。发展壮大一批在全国乃至国际上具有较强竞争力的品牌企业和地标型企业。打造好想你枣业、雪花啤酒、达利食品、光明乳业、加加味业等一大批行业优秀食品品牌，扩大高端食品市场份额，使“新郑味道”成为全国知名品牌。大力发展锐杰微芯片封装、讴歌高端耳机等电子信息产业。培育形成一批科技含量高、质量水平高、拥有核心技术和自主知识产权、具有较强国内、国际竞争力的知名品牌。积极推动现代服务业向高端化、品牌化迈进。努力打造全省商贸物流业龙头。引导生物医药产业做大做强，将润弘制药、遂成药业等龙头企业打造成为行业知名品牌。全力创建省级全域旅游示范区，将拜祖大典、枣乡风情游活动，宋城</w:t>
      </w:r>
      <w:r>
        <w:rPr>
          <w:rFonts w:hint="eastAsia" w:ascii="宋体" w:hAnsi="宋体" w:eastAsia="宋体" w:cs="宋体"/>
          <w:sz w:val="32"/>
          <w:szCs w:val="32"/>
        </w:rPr>
        <w:t>•</w:t>
      </w:r>
      <w:r>
        <w:rPr>
          <w:rFonts w:hint="eastAsia" w:ascii="仿宋" w:hAnsi="仿宋" w:eastAsia="仿宋" w:cs="楷体"/>
          <w:sz w:val="32"/>
          <w:szCs w:val="32"/>
        </w:rPr>
        <w:t>黄帝千古情项目打造成为在国际上有影响力</w:t>
      </w:r>
      <w:r>
        <w:rPr>
          <w:rFonts w:hint="eastAsia" w:ascii="仿宋" w:hAnsi="仿宋" w:eastAsia="仿宋"/>
          <w:sz w:val="32"/>
          <w:szCs w:val="32"/>
        </w:rPr>
        <w:t>的文化旅游品牌。</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楷体" w:hAnsi="楷体" w:eastAsia="楷体"/>
          <w:color w:val="00B050"/>
          <w:sz w:val="32"/>
          <w:szCs w:val="32"/>
        </w:rPr>
      </w:pPr>
      <w:r>
        <w:rPr>
          <w:rFonts w:hint="eastAsia" w:ascii="楷体" w:hAnsi="楷体" w:eastAsia="楷体"/>
          <w:sz w:val="32"/>
          <w:szCs w:val="32"/>
        </w:rPr>
        <w:t>（六）加强质量与创新融合发展</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1.坚持创新驱动发展，以更强的创新促进更高的质量。强化创新主体培育。构建R&amp;D经费投入正向激励机制,优先支持研发占比较高的申报主体，激发企业创新活力与动力。加快建设创新载体，科学规划布局高能级研发平台和双创孵化体系, 着力引进和培育一批国家重点(工程)实验室、国家工程(技术)研究中心、企业技术中心等各类高能级创新研发平台,力争到2025年,建成省级以上研发平台超过70家。鼓励龙头企业带头建立企业技术中心,支持好想你、润弘制药等本地龙头企业搭建公共技术服务平台, 利用我市辖区内10所优质高校资源,建立校地创新同盟，促进科技成果转化。</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楷体" w:hAnsi="楷体" w:eastAsia="楷体"/>
          <w:sz w:val="32"/>
          <w:szCs w:val="32"/>
        </w:rPr>
      </w:pPr>
      <w:r>
        <w:rPr>
          <w:rFonts w:hint="eastAsia" w:ascii="仿宋" w:hAnsi="仿宋" w:eastAsia="仿宋"/>
          <w:sz w:val="32"/>
          <w:szCs w:val="32"/>
        </w:rPr>
        <w:t>2.加快企业质量创新。鼓励企业加大研发投入,构建以企业为主体的技术创新体系，把技术创新作为企业提高质量的抓手，切实加大技术创新投入，加快科技成果转化，注重创新成果的标准化和专利化。积极应用新技术、新工艺、新材料，改善品种质量，提升产品档次和服务水平，研究开发具有核心竞争力、高附加值和自主知识产权的创新性产品和服务。鼓励有条件的企业建立技术中心、工程中心、产业化基地，努力培育集研发、设计、制造和系统集成于一体的创新型企业。鼓励企业开展质量提升小组活动，促进质量管理、质量技术、质量工作法创新。</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楷体" w:hAnsi="楷体" w:eastAsia="楷体"/>
          <w:sz w:val="32"/>
          <w:szCs w:val="32"/>
        </w:rPr>
      </w:pPr>
      <w:r>
        <w:rPr>
          <w:rFonts w:hint="eastAsia" w:ascii="楷体" w:hAnsi="楷体" w:eastAsia="楷体"/>
          <w:sz w:val="32"/>
          <w:szCs w:val="32"/>
        </w:rPr>
        <w:t>（七）加强质量安全监管</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1.加强全面质量监管。深化“放管服”改革，强化事中事后监管，严格按照法律法规从各个领域、各个环节加强对质量的全方位监管，落实各级安全监管责任。全面推行质量安全责任制。推进政府负总责、监管部门各负其责、生产经营者为第一责任人的质量安全责任体系建设。全面落实产品生产、流通等环节企业质量安全主体责任建立健全企业 质量自我声明、质量追溯、质量安全事故报告、缺陷产品召回等制度。不断完善打假责任制、奖励举报制、监督检查制和责任追究制。</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2.加大质量监管和执法力度。严厉打击质量违法行为，综合运用各种监督手段，加强质量监督，扶优治劣，规范市场秩序。深入开展重点产品、重点行业、重点领域执法打假，严厉打击危害公共安全、人身健康以及生命财产安全等严重质量违法行为。健全质量违法行为记录及公布制度，加大行政处罚等政府信息公开力度。</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3.构建质量安全共治格局。按照党委政府领导、相关部门牵头落实、社会各方参与的原则，把部门监督、行业监督、社会 监督有机结合，建立社会共治工作机制。建立健全联动协调机制，切实做好行政执法与刑事司法的有效衔接，完善部门质量信息通报和联合执法工作机制。发挥商会、协会、中介组织等社会力量在质量共治中的作用，完善行业内部质量管理制度，引导行业、企业不断提升产品质量，加强行业自律。发挥消费者的社会监督作用，鼓励消费者对劣质产品和服务及时举报，强化自身维权意识，形成人人关心质量、人人监督质量的良好局面。发挥新闻媒体的宣传和监督作用，形成强大的社会监督力量，推动形成质量安全共治格局。</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4.持续强化信用监管。健全以“双随机、一公开”监管为基本手段、以重点监管为补充、以信用监管为基础的新型监管机制，进一步提升综合监管、智慧监管水平。完善企业信息公示制度，依法对违法失信企业实施信用约束和失信惩戒，提升“企业自治、行业自律、社会监督、政府监管”的信用共治能力，让失信主体“一处违法、处处受限”。完善信用修复机制，鼓励企业自我纠错、重塑信用。</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5.强化重点领域质量监管。健全食品药品、农产品、特种设备、重点消费品等重点行业、重点产品质量分级分类监管机制，依托数字化智慧监管系统，提高行业、产品质量安全监管的精准性和有效性。把质量监管融入数字生活新服务，加强新消费领域质量规范管理力度，压实电商平台、社交平台、搜索引擎等主体责任，规范电商、微商、直播购物等新消费领域。</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6.加强食品、药品、特种设备及重点工业品监管。</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sz w:val="32"/>
          <w:szCs w:val="32"/>
        </w:rPr>
        <w:t>（1）按照“四个最严”要求，全面落实党政领导干部食品安全责任制规定，</w:t>
      </w:r>
      <w:r>
        <w:rPr>
          <w:rFonts w:hint="eastAsia" w:ascii="仿宋" w:hAnsi="仿宋" w:eastAsia="仿宋"/>
          <w:color w:val="000000" w:themeColor="text1"/>
          <w:sz w:val="32"/>
          <w:szCs w:val="32"/>
          <w14:textFill>
            <w14:solidFill>
              <w14:schemeClr w14:val="tx1"/>
            </w14:solidFill>
          </w14:textFill>
        </w:rPr>
        <w:t>进一步强化党委食品安全领导责任，强化政府食品安全行政责任。完善食品安全工作评议考核机制、奖惩机制、会商协作机制。严把食品生产、加工质量安全关、食品流通销售质量安全关、餐饮服务质量</w:t>
      </w:r>
      <w:r>
        <w:rPr>
          <w:rFonts w:hint="eastAsia" w:ascii="仿宋" w:hAnsi="仿宋" w:eastAsia="仿宋"/>
          <w:sz w:val="32"/>
          <w:szCs w:val="32"/>
        </w:rPr>
        <w:t>安全关等食品安全“六道关口”;深入实施校园食品安全守护行动、 农村假冒伪劣食品治理行动、食品生产加工“小作坊”提升行动、餐饮质量安全提升行动、保健食品和婴幼儿配方乳粉专项行动等“十大行动”。加大食品抽检监测力度。统筹开展抽检工作，坚持问题导向，突出重点企业、重点品种抽检监测，将小农户纳入监测范围，依法公布抽检结果</w:t>
      </w:r>
      <w:r>
        <w:rPr>
          <w:rFonts w:hint="eastAsia" w:ascii="仿宋" w:hAnsi="仿宋" w:eastAsia="仿宋"/>
          <w:color w:val="000000" w:themeColor="text1"/>
          <w:sz w:val="32"/>
          <w:szCs w:val="32"/>
          <w14:textFill>
            <w14:solidFill>
              <w14:schemeClr w14:val="tx1"/>
            </w14:solidFill>
          </w14:textFill>
        </w:rPr>
        <w:t>信息提升食品安全治理能力，确保人民群众吃得安全、吃得健康、吃得放心。</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sz w:val="32"/>
          <w:szCs w:val="32"/>
        </w:rPr>
        <w:t>（2）构建更加科学的现代化药品流通、医疗器械和化妆品监管体系。对流通、</w:t>
      </w:r>
      <w:r>
        <w:rPr>
          <w:rFonts w:hint="eastAsia" w:ascii="仿宋" w:hAnsi="仿宋" w:eastAsia="仿宋"/>
          <w:color w:val="000000" w:themeColor="text1"/>
          <w:sz w:val="32"/>
          <w:szCs w:val="32"/>
          <w14:textFill>
            <w14:solidFill>
              <w14:schemeClr w14:val="tx1"/>
            </w14:solidFill>
          </w14:textFill>
        </w:rPr>
        <w:t xml:space="preserve">使用环节实施严格监管，持续开展执业药师挂证、违规网络销售药械、销售不符合规定化妆品等问题专项整治活动，净化药品、器械和化妆品市场秩序。创新监管手段，探索开展“互联网＋”监管模式。 </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3）提升特种设备安全监管效能。严格落实特种设备安全主体责任，督促企业落实管理职责，要求企业依据相关法律法规和安全技术规范要求，强化安全监管能力建设。推广特种设备安全责任强制保险。对特种设备安全隐患进行动态管理，提高风险预警和应急处置能力，坚决遏制重特大事故发生。</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4）加强重要工业产品监管。聚焦与人民生活密切相关消费品，强化服装、日用百货、家用电器、建材等质量监管。加强生产与流通领域监管联动，加大在流通领域的监督抽查力度。加大电商质量违法行为查处力度，营造良好的“互联网＋”发展环境。</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7.加强工程质量监管。完善工程建设质量安全监管机制，加强勘察、设计、施工、监理各环节监管，推行重大工程设备监理制度。重点打击转挂靠，深入治理违法发 包分包等严重扰乱市场秩序行为。</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8.加强服务质量监管。加强服务质量监测体系建设，推广优质服务承诺制度。开展服务业违法广告专项整治活动，净化服务业广告市场环境。严厉打击扰乱旅游市场秩序的违法违规行为，规范旅游市场秩序，净化旅游消费环境。</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楷体" w:hAnsi="楷体" w:eastAsia="楷体"/>
          <w:sz w:val="32"/>
          <w:szCs w:val="32"/>
        </w:rPr>
      </w:pPr>
      <w:r>
        <w:rPr>
          <w:rFonts w:hint="eastAsia" w:ascii="楷体" w:hAnsi="楷体" w:eastAsia="楷体"/>
          <w:sz w:val="32"/>
          <w:szCs w:val="32"/>
        </w:rPr>
        <w:t>（八）夯实质量基础</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1.大力实施标准化战略</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1）大力实施《标准化发展纲要》，以高标准引领高质量发展。建立健全标准化工作协调推进领导机制，构建市场驱动、政府引导、企业为主、社会参与、开放融合的标准化工作格局。全域标准化深度发展，农业、工业、服务业和社会事业等领域标准全覆盖，产业标准化、绿色发展标准化、城乡建设和社会建设标准化水平居郑州市前列，推动高质量发展的标准体系基本建成。</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（2）加强企业标准化工作，以先进标准引领未来产业发展方向。对标国内外先进标准，深入开展“对标达标”活动，鼓励引领企业主动制定和实施先进标准，</w:t>
      </w:r>
      <w:r>
        <w:rPr>
          <w:rFonts w:ascii="仿宋" w:hAnsi="仿宋" w:eastAsia="仿宋"/>
          <w:sz w:val="32"/>
          <w:szCs w:val="32"/>
        </w:rPr>
        <w:t>支持企业发展</w:t>
      </w:r>
      <w:r>
        <w:rPr>
          <w:rFonts w:hint="eastAsia" w:ascii="仿宋" w:hAnsi="仿宋" w:eastAsia="仿宋"/>
          <w:sz w:val="32"/>
          <w:szCs w:val="32"/>
        </w:rPr>
        <w:t>“</w:t>
      </w:r>
      <w:r>
        <w:rPr>
          <w:rFonts w:ascii="仿宋" w:hAnsi="仿宋" w:eastAsia="仿宋"/>
          <w:sz w:val="32"/>
          <w:szCs w:val="32"/>
        </w:rPr>
        <w:t>同线同标同质</w:t>
      </w:r>
      <w:r>
        <w:rPr>
          <w:rFonts w:hint="eastAsia" w:ascii="仿宋" w:hAnsi="仿宋" w:eastAsia="仿宋"/>
          <w:sz w:val="32"/>
          <w:szCs w:val="32"/>
        </w:rPr>
        <w:t>”。鼓励企业积极参与标准领跑者活动，培育企业登上全国企业标准“领跑者”排行榜。开展企业标准化良好行为创建，全面实施企业标准自我声明公开和监督制度。支持企业参与国际国内标准化活动，引导和支持我市技术优势企业在食品制造、信息技术、先进装备制造等主导产业参与制 （修）订国际标准、国家标准和行业标准，组建产业技术标准创新联盟。鼓励产学研联合开展优势主导产业关键技术标准研制，推动新郑企业优势技术和标准成为行业领先标准。</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楷体" w:hAnsi="楷体" w:eastAsia="楷体"/>
          <w:sz w:val="32"/>
          <w:szCs w:val="32"/>
        </w:rPr>
      </w:pPr>
      <w:r>
        <w:rPr>
          <w:rFonts w:hint="eastAsia" w:ascii="仿宋" w:hAnsi="仿宋" w:eastAsia="仿宋"/>
          <w:sz w:val="32"/>
          <w:szCs w:val="32"/>
        </w:rPr>
        <w:t>（3）强化标准实施和监督评价，提高标准化服务能力。强化标准实施和监督。各部门要在政策文件制定和推进政策实施时，积极应用标准，运用标准提高管理和服务效能。推进以标准为依据开展宏观调控、产业推进、行业管理、市场准入和质量监管。推动企业提升执行标准能力，推进社会管理和公共服务、先进制造业和现代服务业等领域标准化试点示范建设。以标准形式推广试点示范成功经验，更好发挥试点示范辐射带动作用。</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2.持续加强计量保证体系建设</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（1）完善适应我市经济社会发展和强制检定需要的社会公用计量标准、计量检定实验条件，重点满足食品安全、贸易结算、安全生产、医疗卫生、环境保护、先进制造业等领域发展需要。</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2）引导企业提升计量能力，完善计量检测体系，建立企业内部量传溯源所需的计量标准。加强对计量标准、工作计量器具的管理，采用先进的计量器具和检测仪器设备，提升生产工艺过程控制、产品质量升级的相关计量技术支撑能力。积极采用先进的计量测试技术，推动企业技术创新和产品升级。加强能源资源计量基础能力建设，引导用能单位合理配备和正确使用能源资源计量器具，推进用能单位能源资源计量器具规范化、标准化、智能化配置，建立能源资源计量管理体系，实现实时监测。加强对能源资源计量数据分析、使用和管理。加强计量人才队伍建设，提升计量队伍的业务水平。</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3.改革创新认证与检验检测发展模式</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1）发挥认证认可促进经济发展、服务保障民生的基础作用，围绕食品制造、电子信息等重点领域，大力开展质量管理体系、环境管理体系、职业健康安全管理体系等认证工作。引导企业开展自愿性认证，推行高端品质认证。结合我市产业发展，重点加大绿色产品、有机产品、旅游服务等认证力度，培育优势产业和拳头产品，促进产业和消费提质升级。</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color w:val="00B050"/>
          <w:sz w:val="32"/>
          <w:szCs w:val="32"/>
        </w:rPr>
      </w:pPr>
      <w:r>
        <w:rPr>
          <w:rFonts w:hint="eastAsia" w:ascii="仿宋" w:hAnsi="仿宋" w:eastAsia="仿宋"/>
          <w:sz w:val="32"/>
          <w:szCs w:val="32"/>
        </w:rPr>
        <w:t>（2）围绕我市装备制造业、优势特色产业、战略新兴产业等发展需求，重点建设提升一批融合技术研发、分析试验、标准研制、咨询培训功能的检验检测公共技术服务平台。进一步加强食品检验、产品质量检验、工程质量检测、环境检测等检验检测机构建设。为企业产品创新、技术创新、 产品质量安全监管提供有力支撑。</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4.强化质量基础设施、先进质量方法的“一站式”服务</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1）有机融合计量、标准、认证认可、检验检测、质量管理等要素资源，面向企业、产业、区域特别是中小企业提供的全链条、全方位、全过程质量基础设施综合服务。以知识产权、品牌培育等为延伸，强化协同服务，支撑全过程、全生命周期的质量服务需求。</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color w:val="FF0000"/>
          <w:sz w:val="32"/>
          <w:szCs w:val="32"/>
        </w:rPr>
      </w:pPr>
      <w:r>
        <w:rPr>
          <w:rFonts w:hint="eastAsia" w:ascii="仿宋" w:hAnsi="仿宋" w:eastAsia="仿宋"/>
          <w:sz w:val="32"/>
          <w:szCs w:val="32"/>
        </w:rPr>
        <w:t>（2）结合我市做为郑州市质量基础设施、先进质量方法的“一站式试点，根据市产业特点、企业需要和资源现状，因地制宜搭建质量基础设施“一站式”服务平台，建立计量、标准、认证认可、检验检测、质量管理等要素协同服务的流程与机制，助推中小企业和产业集聚区全面加强质量提升。积极推进全面质量管理，广泛开展质量风险分析与控制、质量成本管理、质量管理体系升级等活动，推行智能制造、精益生产、绿色工厂、绿色供应链等高效生产方式。积极推进卓越绩效管理模式等先进的质量管理模式和方法的应用，实现企业的质量水平、管理能力、经营质量和品牌影响力整体跃升。</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楷体" w:hAnsi="楷体" w:eastAsia="楷体"/>
          <w:sz w:val="32"/>
          <w:szCs w:val="32"/>
        </w:rPr>
      </w:pPr>
      <w:r>
        <w:rPr>
          <w:rFonts w:hint="eastAsia" w:ascii="楷体" w:hAnsi="楷体" w:eastAsia="楷体"/>
          <w:sz w:val="32"/>
          <w:szCs w:val="32"/>
        </w:rPr>
        <w:t>（九）加强质量文化建设</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1.培育新时代质量文化。坚持新发展理念，牢固树立“质量第一”意识，将质量文化作为社会主义核心价值观教育的重要内容，树立崇尚质量的价值导向, 提高全社会质量意识，丰富质量文化内涵，提升质量文化软实力。努力形成政府重视质量、企业追求质量、社会崇尚质量、人人关心质量的良好氛围，提升质量文化软实力。</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2. 引导企业加强质量文化建设。大力弘扬“持续改进、追求卓越”的质量精神，牢固树立质量是企业生命的理念，实施以质取胜的经营战略。将诚实守信、持续改进、创新发展、追求卓越的质量精神转化为社会、广大企业及企业员工的行为准则，自觉抵制违法生产经营行为。加强对企业员工专题质量教育，弘扬“工匠”精神，提升质量素养。</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楷体" w:hAnsi="楷体" w:eastAsia="楷体"/>
          <w:sz w:val="32"/>
          <w:szCs w:val="32"/>
        </w:rPr>
      </w:pPr>
      <w:r>
        <w:rPr>
          <w:rFonts w:hint="eastAsia" w:ascii="仿宋" w:hAnsi="仿宋" w:eastAsia="仿宋"/>
          <w:sz w:val="32"/>
          <w:szCs w:val="32"/>
        </w:rPr>
        <w:t>3.创新质量文化教育。把质量发展纳入党校教学计划，让质量第一成为各级党委和政府的根本理念，成为领导干部工作责任，成为市各阶层的价值追求和时代精神。加大中小学质量教育实践基地、企业卓越绩效示范基地、企业质量文化展示厅和科普基地建设，传递先进质量理念与实践。深入开展各类群众性质量活动，举办质量建设研讨会，质量学习论坛、开设质量诚信道德讲堂，组织质量“进企业、进社区、进学校”活动，发挥网络、 微信等新兴媒体的质量品牌文化教育作用，提升全民质量意识。</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楷体" w:hAnsi="楷体" w:eastAsia="楷体"/>
          <w:sz w:val="32"/>
          <w:szCs w:val="32"/>
        </w:rPr>
      </w:pPr>
      <w:r>
        <w:rPr>
          <w:rFonts w:hint="eastAsia" w:ascii="楷体" w:hAnsi="楷体" w:eastAsia="楷体"/>
          <w:sz w:val="32"/>
          <w:szCs w:val="32"/>
        </w:rPr>
        <w:t>（十）加强质量人才培养</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1.加大质量专业人才培养力度。大力实施“故里英才引进计划”、青红黄白蓝“五彩”人才计划,落实“黄河人才计划”各项优惠政策，全面加强高技能人才队伍建设，为质量强市提供技能人才支撑。加强职业教育技术技能人才培养质量，推动企业和职业院校成为质量人才培养的主体，推广现代学徒制和企业新型学徒制，在全市优势企业培育一批质量科技领军人才，重点培养企业卓越绩效自评师、认证审核员及内审员、品牌管理师、环境检测师、工程监理师等高层次质量人才。建立质量人才奖励制度。对质量管理先进、成绩显著的组织和个人给予表彰奖励，树立先进典型，激励广大企业和全社会重质量、讲诚信、树品牌。</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2.实施企业质量素质提升工程，广泛开展面向企业的质量教育培训，重点加强对企业经营者的质量管理培训和首席质量官培训，全面提高企业经营管理者、质量负责人的质量意识和水平。推动企业广泛开展质量文化教育、质量意识教育、质量素质教育、质量能力教育和质量专业教育，加强对一线工人的工艺规程和操作技术培训，提高员工职业素质，使其具备开展本职工作所需的质量知识和技能。鼓励企业积极开展争创质量管理先进班组和质量标兵活动。</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3.加强质量人才梯队建设。发挥各级工会组织和共青团组织作用，大规模开展职业技能培训，实施青年职业能力提升计划，完善技术技能人才培养培训工作体系，大力弘扬工匠精神，培育众多“新郑工匠”。树立“新郑工匠”典型。开展劳动和技能竞赛、青年质量提升示范岗创建、青年质量控制小组实践等活动。</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楷体" w:hAnsi="楷体" w:eastAsia="楷体"/>
          <w:sz w:val="32"/>
          <w:szCs w:val="32"/>
        </w:rPr>
      </w:pPr>
      <w:r>
        <w:rPr>
          <w:rFonts w:hint="eastAsia" w:ascii="仿宋" w:hAnsi="仿宋" w:eastAsia="仿宋"/>
          <w:sz w:val="32"/>
          <w:szCs w:val="32"/>
        </w:rPr>
        <w:t>4．促进质量社会组织建设。促进新郑市质量促进会、质量协会等质量社会组织的建设，充分发挥中介组织在质量发展中的桥梁纽带作用。聚集全社会各领域、各层次质量专家，建立质量专家数据库，发挥质量智囊专业优势，为政府质量决策、企业质量提升和人才培养发挥积极作用。</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五、组织保障</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楷体" w:hAnsi="楷体" w:eastAsia="楷体"/>
          <w:sz w:val="32"/>
          <w:szCs w:val="32"/>
        </w:rPr>
      </w:pPr>
      <w:r>
        <w:rPr>
          <w:rFonts w:hint="eastAsia" w:ascii="楷体" w:hAnsi="楷体" w:eastAsia="楷体"/>
          <w:sz w:val="32"/>
          <w:szCs w:val="32"/>
        </w:rPr>
        <w:t>（一）强化组织领导</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完善建立“党委领导、政府主导、部门联合、企业主责、社会参与”的质量工作格局，构建统一权威的质量工作体制机制。各级党委和政府要将质量工作摆到重要议事日程，认真落实质量工作责任制。充分发挥新郑市质量强市战略工作领导小组牵头抓总作用，加强对质量发展工作的统筹规划和组织领导，建立健全质量工作推进、协调机制，定期召开部门联席会议，落实好上级对新郑市政府质量工作考核工作，围绕市委、市政府中心工作，组织好市政府质量工作专项绩效考核目标的下达和督导督办，把质量工作考核目标作为推进全市质量提升的有效抓手。</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楷体" w:hAnsi="楷体" w:eastAsia="楷体"/>
          <w:sz w:val="32"/>
          <w:szCs w:val="32"/>
        </w:rPr>
      </w:pPr>
      <w:r>
        <w:rPr>
          <w:rFonts w:hint="eastAsia" w:ascii="楷体" w:hAnsi="楷体" w:eastAsia="楷体"/>
          <w:sz w:val="32"/>
          <w:szCs w:val="32"/>
        </w:rPr>
        <w:t>（二）加强政策支持</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楷体" w:hAnsi="楷体" w:eastAsia="楷体"/>
          <w:sz w:val="32"/>
          <w:szCs w:val="32"/>
        </w:rPr>
      </w:pPr>
      <w:r>
        <w:rPr>
          <w:rFonts w:hint="eastAsia" w:ascii="仿宋" w:hAnsi="仿宋" w:eastAsia="仿宋"/>
          <w:sz w:val="32"/>
          <w:szCs w:val="32"/>
        </w:rPr>
        <w:t>全市各有关部门要围绕质量强市建设，精准发力，着力完善相关产业、环境、科技、金融、财政、人才等扶持政策，进一步增强政策的协调性和针对性。进一步完善财政投入机制，充分发挥公共财政的导向作用，加强对质量安全监管，标准、品牌、认证、检验检测与公共服务平台建设的经费保障。探索建立市场化、多元化经费投入机制，鼓励、引导社会各界加大投入，逐步形成以政府投入为导向、企业投入为主体、社会投入为补充的质量强市建设工作资金投入机制。</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楷体" w:hAnsi="楷体" w:eastAsia="楷体"/>
          <w:sz w:val="32"/>
          <w:szCs w:val="32"/>
        </w:rPr>
      </w:pPr>
      <w:r>
        <w:rPr>
          <w:rFonts w:hint="eastAsia" w:ascii="楷体" w:hAnsi="楷体" w:eastAsia="楷体"/>
          <w:sz w:val="32"/>
          <w:szCs w:val="32"/>
        </w:rPr>
        <w:t>（三）强化工作考核</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强化政府质量工作考核，将质量工作考核结果作为各级党委和政府领导班子及有关领导干部综合考核评价的重要内容。建立健全《规划》实施考核评估机制，开展规划动态监测，以规划中期和终期两个时间节点,对规划实施情况、各项指标落实情况组织开展评估。加强对《规划》实施情况的跟踪督导，对实施情况及时进行督促检查，建立主要目标任务反馈机制，推进任务落实到位。</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sz w:val="32"/>
          <w:szCs w:val="32"/>
        </w:rPr>
      </w:pPr>
      <w:r>
        <w:rPr>
          <w:rFonts w:hint="eastAsia" w:ascii="楷体" w:hAnsi="楷体" w:eastAsia="楷体"/>
          <w:sz w:val="32"/>
          <w:szCs w:val="32"/>
        </w:rPr>
        <w:t>（四）加强宣传推广</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加强质量公益宣传，大力宣传质量工作方针政策、法律法规以及质量管理先进典型，增强市民和经营者的质量意识和法制观念。深入报道我市提升质量的丰富实践、先进典型，讲好新郑质量故事，推介新郑质量品牌，塑造新郑质量形象。动员社会各领域广泛参与，开展形式多样的质量科普宣传教育。结合每年全国“质量月”、“世界计量日”、“世界标准化日”、“世界认可日”等主题活动，大力弘扬“</w:t>
      </w:r>
      <w:r>
        <w:rPr>
          <w:rFonts w:hint="eastAsia" w:ascii="仿宋" w:hAnsi="仿宋" w:eastAsia="仿宋"/>
          <w:sz w:val="32"/>
          <w:szCs w:val="32"/>
          <w:lang w:val="en-US" w:eastAsia="zh-CN"/>
        </w:rPr>
        <w:t>黄帝故里 品质新郑</w:t>
      </w:r>
      <w:r>
        <w:rPr>
          <w:rFonts w:hint="eastAsia" w:ascii="仿宋" w:hAnsi="仿宋" w:eastAsia="仿宋"/>
          <w:sz w:val="32"/>
          <w:szCs w:val="32"/>
        </w:rPr>
        <w:t>”的城市质量精神。加强质量舆论监督，加大对质量违法案件的曝光力度，震慑质量违法行为。</w:t>
      </w:r>
    </w:p>
    <w:p>
      <w:pPr>
        <w:keepNext w:val="0"/>
        <w:keepLines w:val="0"/>
        <w:pageBreakBefore w:val="0"/>
        <w:widowControl/>
        <w:shd w:val="clear" w:color="auto" w:fill="FFFFFF"/>
        <w:wordWrap/>
        <w:overflowPunct/>
        <w:topLinePunct w:val="0"/>
        <w:bidi w:val="0"/>
        <w:spacing w:line="600" w:lineRule="exact"/>
        <w:ind w:firstLine="640" w:firstLineChars="200"/>
        <w:rPr>
          <w:rFonts w:ascii="仿宋" w:hAnsi="仿宋" w:eastAsia="仿宋" w:cs="Times New Roman"/>
          <w:color w:val="000000"/>
          <w:kern w:val="0"/>
          <w:sz w:val="32"/>
          <w:szCs w:val="32"/>
        </w:rPr>
      </w:pPr>
    </w:p>
    <w:p/>
    <w:p>
      <w:pPr>
        <w:keepNext w:val="0"/>
        <w:keepLines w:val="0"/>
        <w:pageBreakBefore w:val="0"/>
        <w:widowControl/>
        <w:shd w:val="clear" w:color="auto" w:fill="FFFFFF"/>
        <w:wordWrap/>
        <w:overflowPunct/>
        <w:topLinePunct w:val="0"/>
        <w:bidi w:val="0"/>
        <w:spacing w:line="600" w:lineRule="exact"/>
        <w:ind w:firstLine="640" w:firstLineChars="200"/>
        <w:rPr>
          <w:rFonts w:ascii="仿宋" w:hAnsi="仿宋" w:eastAsia="仿宋" w:cs="Times New Roman"/>
          <w:color w:val="000000"/>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FC224E"/>
    <w:multiLevelType w:val="singleLevel"/>
    <w:tmpl w:val="A5FC224E"/>
    <w:lvl w:ilvl="0" w:tentative="0">
      <w:start w:val="1"/>
      <w:numFmt w:val="chineseCounting"/>
      <w:suff w:val="nothing"/>
      <w:lvlText w:val="%1、"/>
      <w:lvlJc w:val="left"/>
      <w:rPr>
        <w:rFonts w:hint="eastAsia"/>
      </w:rPr>
    </w:lvl>
  </w:abstractNum>
  <w:abstractNum w:abstractNumId="1">
    <w:nsid w:val="FB12CD04"/>
    <w:multiLevelType w:val="singleLevel"/>
    <w:tmpl w:val="FB12CD04"/>
    <w:lvl w:ilvl="0" w:tentative="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zYTc3Y2FhZjhhM2I4NmU0MzkzMmMzMzcwNDY4MjgifQ=="/>
  </w:docVars>
  <w:rsids>
    <w:rsidRoot w:val="4AC6452F"/>
    <w:rsid w:val="4AC64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2022-05-31T00:34:00Z</dcterms:created>
  <dc:creator>岳海峰</dc:creator>
  <cp:lastModifiedBy>岳海峰</cp:lastModifiedBy>
  <dcterms:modified xsi:type="dcterms:W3CDTF">2022-05-31T00:35:11Z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5D1B607EF64F4E84AA6AF08A9249BD9D</vt:lpwstr>
  </property>
</Properties>
</file>