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《新郑市农田水利设施管护办法》</w:t>
      </w:r>
    </w:p>
    <w:p>
      <w:pPr>
        <w:widowControl w:val="0"/>
        <w:wordWrap/>
        <w:adjustRightInd/>
        <w:snapToGrid/>
        <w:spacing w:line="580" w:lineRule="exact"/>
        <w:jc w:val="both"/>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政策解读</w:t>
      </w:r>
    </w:p>
    <w:p>
      <w:pPr>
        <w:widowControl w:val="0"/>
        <w:wordWrap/>
        <w:adjustRightInd/>
        <w:snapToGrid/>
        <w:spacing w:line="560" w:lineRule="exact"/>
        <w:ind w:firstLine="640" w:firstLineChars="200"/>
        <w:textAlignment w:val="auto"/>
        <w:outlineLvl w:val="9"/>
        <w:rPr>
          <w:rFonts w:hint="eastAsia" w:ascii="仿宋" w:hAnsi="仿宋" w:eastAsia="仿宋"/>
          <w:sz w:val="32"/>
          <w:szCs w:val="32"/>
        </w:rPr>
      </w:pPr>
    </w:p>
    <w:p>
      <w:pPr>
        <w:widowControl w:val="0"/>
        <w:numPr>
          <w:ilvl w:val="0"/>
          <w:numId w:val="1"/>
        </w:numPr>
        <w:wordWrap/>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起草依据</w:t>
      </w:r>
    </w:p>
    <w:p>
      <w:pPr>
        <w:widowControl w:val="0"/>
        <w:numPr>
          <w:numId w:val="0"/>
        </w:numPr>
        <w:wordWrap/>
        <w:adjustRightInd/>
        <w:snapToGrid/>
        <w:spacing w:line="56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以习近平新时代中国特色社会主义思想为指导，深入贯彻党的十九大和十九届二中、三中、四中、五中全会精神，全面落实省委、省政府关于加强农田水利设施管护工作的安排部署，</w:t>
      </w:r>
      <w:r>
        <w:rPr>
          <w:rFonts w:hint="eastAsia" w:ascii="仿宋" w:hAnsi="仿宋" w:eastAsia="仿宋"/>
          <w:sz w:val="32"/>
          <w:szCs w:val="32"/>
          <w:lang w:eastAsia="zh-CN"/>
        </w:rPr>
        <w:t>根据</w:t>
      </w:r>
      <w:r>
        <w:rPr>
          <w:rFonts w:hint="eastAsia" w:ascii="仿宋" w:hAnsi="仿宋" w:eastAsia="仿宋"/>
          <w:sz w:val="32"/>
          <w:szCs w:val="32"/>
        </w:rPr>
        <w:t>河南省《关于加强农田水利设施管护工作的指导意见》精神，按照“明晰工程产权、明确管护责任、建立长效机制”的原则，结合</w:t>
      </w:r>
      <w:r>
        <w:rPr>
          <w:rFonts w:hint="eastAsia" w:ascii="仿宋" w:hAnsi="仿宋" w:eastAsia="仿宋"/>
          <w:sz w:val="32"/>
          <w:szCs w:val="32"/>
          <w:lang w:eastAsia="zh-CN"/>
        </w:rPr>
        <w:t>我市</w:t>
      </w:r>
      <w:r>
        <w:rPr>
          <w:rFonts w:hint="eastAsia" w:ascii="仿宋" w:hAnsi="仿宋" w:eastAsia="仿宋"/>
          <w:sz w:val="32"/>
          <w:szCs w:val="32"/>
        </w:rPr>
        <w:t>实际，制定本办法。</w:t>
      </w:r>
    </w:p>
    <w:p>
      <w:pPr>
        <w:widowControl w:val="0"/>
        <w:numPr>
          <w:ilvl w:val="0"/>
          <w:numId w:val="1"/>
        </w:numPr>
        <w:wordWrap/>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目的意义</w:t>
      </w:r>
    </w:p>
    <w:p>
      <w:pPr>
        <w:widowControl w:val="0"/>
        <w:numPr>
          <w:numId w:val="0"/>
        </w:numPr>
        <w:wordWrap/>
        <w:adjustRightInd/>
        <w:snapToGrid/>
        <w:spacing w:line="56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rPr>
        <w:t>为切实管理和维护好</w:t>
      </w:r>
      <w:r>
        <w:rPr>
          <w:rFonts w:hint="eastAsia" w:ascii="仿宋" w:hAnsi="仿宋" w:eastAsia="仿宋"/>
          <w:sz w:val="32"/>
          <w:szCs w:val="32"/>
          <w:lang w:eastAsia="zh-CN"/>
        </w:rPr>
        <w:t>我市</w:t>
      </w:r>
      <w:r>
        <w:rPr>
          <w:rFonts w:hint="eastAsia" w:ascii="仿宋" w:hAnsi="仿宋" w:eastAsia="仿宋"/>
          <w:sz w:val="32"/>
          <w:szCs w:val="32"/>
        </w:rPr>
        <w:t>农田水利设施，进一步提升农田水利设施运行质量和使用效益</w:t>
      </w:r>
      <w:r>
        <w:rPr>
          <w:rFonts w:hint="eastAsia" w:ascii="仿宋" w:hAnsi="仿宋" w:eastAsia="仿宋"/>
          <w:sz w:val="32"/>
          <w:szCs w:val="32"/>
          <w:lang w:eastAsia="zh-CN"/>
        </w:rPr>
        <w:t>。</w:t>
      </w:r>
    </w:p>
    <w:p>
      <w:pPr>
        <w:widowControl w:val="0"/>
        <w:numPr>
          <w:ilvl w:val="0"/>
          <w:numId w:val="1"/>
        </w:numPr>
        <w:wordWrap/>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widowControl w:val="0"/>
        <w:numPr>
          <w:numId w:val="0"/>
        </w:numPr>
        <w:wordWrap/>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楷体" w:hAnsi="楷体" w:eastAsia="楷体" w:cs="楷体"/>
          <w:sz w:val="32"/>
          <w:szCs w:val="32"/>
          <w:lang w:val="en-US" w:eastAsia="zh-CN"/>
        </w:rPr>
        <w:t>1.明晰设施产权：</w:t>
      </w:r>
      <w:r>
        <w:rPr>
          <w:rFonts w:hint="eastAsia" w:ascii="仿宋" w:hAnsi="仿宋" w:eastAsia="仿宋"/>
          <w:sz w:val="32"/>
          <w:szCs w:val="32"/>
          <w:lang w:val="en-US" w:eastAsia="zh-CN"/>
        </w:rPr>
        <w:t>政府投资建设的农田水利设施产权原则上归属于农村集体经济组织。</w:t>
      </w:r>
    </w:p>
    <w:p>
      <w:pPr>
        <w:widowControl w:val="0"/>
        <w:numPr>
          <w:numId w:val="0"/>
        </w:numPr>
        <w:wordWrap/>
        <w:adjustRightInd/>
        <w:snapToGrid/>
        <w:spacing w:line="560" w:lineRule="exact"/>
        <w:ind w:firstLine="640"/>
        <w:textAlignment w:val="auto"/>
        <w:outlineLvl w:val="9"/>
        <w:rPr>
          <w:rFonts w:hint="eastAsia" w:ascii="仿宋" w:hAnsi="仿宋" w:eastAsia="仿宋"/>
          <w:sz w:val="32"/>
          <w:szCs w:val="32"/>
          <w:lang w:val="en-US" w:eastAsia="zh-CN"/>
        </w:rPr>
      </w:pPr>
      <w:r>
        <w:rPr>
          <w:rFonts w:hint="eastAsia" w:ascii="楷体" w:hAnsi="楷体" w:eastAsia="楷体" w:cs="楷体"/>
          <w:sz w:val="32"/>
          <w:szCs w:val="32"/>
          <w:lang w:val="en-US" w:eastAsia="zh-CN"/>
        </w:rPr>
        <w:t>2. 明确管护职责：</w:t>
      </w:r>
      <w:r>
        <w:rPr>
          <w:rFonts w:hint="eastAsia" w:ascii="仿宋" w:hAnsi="仿宋" w:eastAsia="仿宋"/>
          <w:sz w:val="32"/>
          <w:szCs w:val="32"/>
          <w:lang w:val="en-US" w:eastAsia="zh-CN"/>
        </w:rPr>
        <w:t>市农业农村工作委员会是本级人民政府农田水利设施管护的主管部门；市发展改革委员会负责核定农业用水价格，协调推进农业水价改革等工作；市财政局负责列支管护经费，加强资金监管等；市水利局负责加强农民用水组织的管理指导工作；国网新郑市供电公司负责新建和已接收的高压设施的运维管护；乡镇（管委会）、街道办事处落实管护工作属地责任，为建后管护的监管主体。</w:t>
      </w:r>
    </w:p>
    <w:p>
      <w:pPr>
        <w:widowControl w:val="0"/>
        <w:numPr>
          <w:numId w:val="0"/>
        </w:numPr>
        <w:wordWrap/>
        <w:adjustRightInd/>
        <w:snapToGrid/>
        <w:spacing w:line="560" w:lineRule="exact"/>
        <w:ind w:firstLine="640"/>
        <w:textAlignment w:val="auto"/>
        <w:outlineLvl w:val="9"/>
        <w:rPr>
          <w:rFonts w:hint="eastAsia" w:ascii="仿宋" w:hAnsi="仿宋" w:eastAsia="仿宋"/>
          <w:sz w:val="32"/>
          <w:szCs w:val="32"/>
          <w:lang w:val="en-US" w:eastAsia="zh-CN"/>
        </w:rPr>
      </w:pPr>
      <w:r>
        <w:rPr>
          <w:rFonts w:hint="eastAsia" w:ascii="楷体" w:hAnsi="楷体" w:eastAsia="楷体" w:cs="楷体"/>
          <w:sz w:val="32"/>
          <w:szCs w:val="32"/>
          <w:lang w:val="en-US" w:eastAsia="zh-CN"/>
        </w:rPr>
        <w:t>3.落实管护人员：</w:t>
      </w:r>
      <w:r>
        <w:rPr>
          <w:rFonts w:hint="eastAsia" w:ascii="仿宋" w:hAnsi="仿宋" w:eastAsia="仿宋"/>
          <w:sz w:val="32"/>
          <w:szCs w:val="32"/>
          <w:lang w:val="en-US" w:eastAsia="zh-CN"/>
        </w:rPr>
        <w:t>实行井长制，村党支部书记任本村井长；</w:t>
      </w:r>
      <w:r>
        <w:rPr>
          <w:rFonts w:hint="eastAsia" w:ascii="黑体" w:hAnsi="黑体" w:eastAsia="黑体" w:cs="黑体"/>
          <w:sz w:val="32"/>
          <w:szCs w:val="32"/>
          <w:lang w:val="en-US" w:eastAsia="zh-CN"/>
        </w:rPr>
        <w:t xml:space="preserve"> </w:t>
      </w:r>
      <w:r>
        <w:rPr>
          <w:rFonts w:hint="eastAsia" w:ascii="仿宋" w:hAnsi="仿宋" w:eastAsia="仿宋"/>
          <w:sz w:val="32"/>
          <w:szCs w:val="32"/>
          <w:lang w:val="en-US" w:eastAsia="zh-CN"/>
        </w:rPr>
        <w:t>设立管护人员，可由村干部兼任，也可通过设立公益岗位予以安排，由乡镇级农业农村机构统一管理。</w:t>
      </w:r>
    </w:p>
    <w:p>
      <w:pPr>
        <w:widowControl w:val="0"/>
        <w:wordWrap/>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楷体" w:hAnsi="楷体" w:eastAsia="楷体" w:cs="楷体"/>
          <w:sz w:val="32"/>
          <w:szCs w:val="32"/>
          <w:lang w:val="en-US" w:eastAsia="zh-CN"/>
        </w:rPr>
        <w:t>4.管护内容：</w:t>
      </w:r>
      <w:r>
        <w:rPr>
          <w:rFonts w:hint="eastAsia" w:ascii="仿宋" w:hAnsi="仿宋" w:eastAsia="仿宋"/>
          <w:sz w:val="32"/>
          <w:szCs w:val="32"/>
          <w:lang w:val="en-US" w:eastAsia="zh-CN"/>
        </w:rPr>
        <w:t>管护人员保证管护的工程设施处于良好状态； 新建成的农田水利设施通过竣工验收后，由所在乡镇（街道、管委会）人民政府与村民委员会签订管护协议，纳入管护范围；管护人员应经常对农田水利设施进行巡查；管护人员巡查时发现人为破坏工程设施要及时制止，已造成损坏的，责令损坏者予以修复或缴纳维修费用，并立即向村民委员会、乡镇人民政府报告； 管护人员巡查发现有重大破损现象和存在重大安全隐患，要及时上报。</w:t>
      </w:r>
    </w:p>
    <w:p>
      <w:pPr>
        <w:widowControl w:val="0"/>
        <w:numPr>
          <w:numId w:val="0"/>
        </w:numPr>
        <w:wordWrap/>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楷体" w:hAnsi="楷体" w:eastAsia="楷体" w:cs="楷体"/>
          <w:sz w:val="32"/>
          <w:szCs w:val="32"/>
          <w:lang w:val="en-US" w:eastAsia="zh-CN"/>
        </w:rPr>
        <w:t xml:space="preserve">5.保证管护经费： </w:t>
      </w:r>
      <w:r>
        <w:rPr>
          <w:rFonts w:hint="eastAsia" w:ascii="仿宋" w:hAnsi="仿宋" w:eastAsia="仿宋"/>
          <w:sz w:val="32"/>
          <w:szCs w:val="32"/>
          <w:lang w:val="en-US" w:eastAsia="zh-CN"/>
        </w:rPr>
        <w:t>按照“政府补助、水费提取、其他补充”的原则，市财政按照每年每亩耕地1元的标准，列支年度财政预算，建立管护维修基金；各街道办事处、乡镇（管委会）督促辖区内行政村规范收取水费，收取的水费或电费在支付电费成本后，剩余部分用于设施维修、管护人员工资补助等；乡镇（管委会）、街道办事处、农业农村部门可按规定通过使用农田建设项目结余资金、评价激励资金、管护奖补资金等方式筹措管护资金。</w:t>
      </w:r>
    </w:p>
    <w:p>
      <w:pPr>
        <w:widowControl w:val="0"/>
        <w:numPr>
          <w:numId w:val="0"/>
        </w:numPr>
        <w:wordWrap/>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val="en-US" w:eastAsia="zh-CN"/>
        </w:rPr>
        <w:t>6</w:t>
      </w:r>
      <w:r>
        <w:rPr>
          <w:rFonts w:hint="eastAsia" w:ascii="楷体" w:hAnsi="楷体" w:eastAsia="楷体" w:cs="楷体"/>
          <w:sz w:val="32"/>
          <w:szCs w:val="32"/>
          <w:lang w:val="en-US" w:eastAsia="zh-CN"/>
        </w:rPr>
        <w:t>.创新管护方法：</w:t>
      </w:r>
      <w:r>
        <w:rPr>
          <w:rFonts w:hint="eastAsia" w:ascii="仿宋" w:hAnsi="仿宋" w:eastAsia="仿宋"/>
          <w:sz w:val="32"/>
          <w:szCs w:val="32"/>
          <w:lang w:val="en-US" w:eastAsia="zh-CN"/>
        </w:rPr>
        <w:t>在尊重群众意愿的前提下，可采取村组集体管理的“共管模式”、委托经营主体管理的“托管模式”、农民用水协会等组织管理的“协会模式”、受益人管理的“承包模式”等；将每年的11月定为全市农田设施“管护月”。</w:t>
      </w:r>
    </w:p>
    <w:p>
      <w:pPr>
        <w:widowControl w:val="0"/>
        <w:numPr>
          <w:numId w:val="0"/>
        </w:numPr>
        <w:wordWrap/>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楷体" w:hAnsi="楷体" w:eastAsia="楷体" w:cs="楷体"/>
          <w:sz w:val="32"/>
          <w:szCs w:val="32"/>
          <w:lang w:val="en-US" w:eastAsia="zh-CN"/>
        </w:rPr>
        <w:t>7.考核及奖惩：</w:t>
      </w:r>
      <w:r>
        <w:rPr>
          <w:rFonts w:hint="eastAsia" w:ascii="仿宋" w:hAnsi="仿宋" w:eastAsia="仿宋"/>
          <w:sz w:val="32"/>
          <w:szCs w:val="32"/>
          <w:lang w:val="en-US" w:eastAsia="zh-CN"/>
        </w:rPr>
        <w:t>对在农田水利设施管护工作中的先进单位和个人等进行表彰和奖励，同时，优先安排管护资金；因管护人员不认真履行职责，造成管护不到位的，扣减工资处罚；造成管护责任区的工程设施严重损毁的，解除管护合同，并按照管护合同的约定追究管护人的责任；对有意损坏工程或不听劝阻的寻衅闹事，殴打管护人员的，视其情节轻重，给予批评、教育、罚款处理，违反法律法规的，交由有关部门追究相关责任。</w:t>
      </w:r>
    </w:p>
    <w:p>
      <w:pPr>
        <w:widowControl w:val="0"/>
        <w:numPr>
          <w:numId w:val="0"/>
        </w:numPr>
        <w:wordWrap/>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四、适用范围</w:t>
      </w:r>
    </w:p>
    <w:p>
      <w:pPr>
        <w:widowControl w:val="0"/>
        <w:numPr>
          <w:numId w:val="0"/>
        </w:numPr>
        <w:wordWrap/>
        <w:adjustRightInd/>
        <w:snapToGrid/>
        <w:spacing w:line="56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主要包括使用各级财政资金建设的农田水利设施，</w:t>
      </w:r>
      <w:r>
        <w:rPr>
          <w:rFonts w:hint="eastAsia" w:ascii="仿宋" w:hAnsi="仿宋" w:eastAsia="仿宋"/>
          <w:sz w:val="32"/>
          <w:szCs w:val="32"/>
          <w:lang w:eastAsia="zh-CN"/>
        </w:rPr>
        <w:t>包</w:t>
      </w:r>
      <w:r>
        <w:rPr>
          <w:rFonts w:hint="eastAsia" w:ascii="仿宋" w:hAnsi="仿宋" w:eastAsia="仿宋"/>
          <w:sz w:val="32"/>
          <w:szCs w:val="32"/>
        </w:rPr>
        <w:t>含</w:t>
      </w:r>
      <w:r>
        <w:rPr>
          <w:rFonts w:hint="eastAsia" w:ascii="仿宋" w:hAnsi="仿宋" w:eastAsia="仿宋"/>
          <w:sz w:val="32"/>
          <w:szCs w:val="32"/>
          <w:lang w:eastAsia="zh-CN"/>
        </w:rPr>
        <w:t>机井、泵站、塘坝堰、小型集雨设施、输排水设施、渠系建筑物、高低压</w:t>
      </w:r>
      <w:r>
        <w:rPr>
          <w:rFonts w:hint="eastAsia" w:ascii="仿宋" w:hAnsi="仿宋" w:eastAsia="仿宋"/>
          <w:sz w:val="32"/>
          <w:szCs w:val="32"/>
        </w:rPr>
        <w:t>电力设施、信息</w:t>
      </w:r>
      <w:r>
        <w:rPr>
          <w:rFonts w:hint="eastAsia" w:ascii="仿宋" w:hAnsi="仿宋" w:eastAsia="仿宋"/>
          <w:sz w:val="32"/>
          <w:szCs w:val="32"/>
          <w:lang w:eastAsia="zh-CN"/>
        </w:rPr>
        <w:t>化</w:t>
      </w:r>
      <w:r>
        <w:rPr>
          <w:rFonts w:hint="eastAsia" w:ascii="仿宋" w:hAnsi="仿宋" w:eastAsia="仿宋"/>
          <w:sz w:val="32"/>
          <w:szCs w:val="32"/>
        </w:rPr>
        <w:t>管理平台等。</w:t>
      </w:r>
    </w:p>
    <w:p>
      <w:pPr>
        <w:widowControl w:val="0"/>
        <w:numPr>
          <w:numId w:val="0"/>
        </w:numPr>
        <w:wordWrap/>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五、政策解读机构</w:t>
      </w:r>
    </w:p>
    <w:p>
      <w:pPr>
        <w:widowControl w:val="0"/>
        <w:numPr>
          <w:numId w:val="0"/>
        </w:numPr>
        <w:wordWrap/>
        <w:adjustRightInd/>
        <w:snapToGrid/>
        <w:spacing w:line="56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市农业农村工作委员会作为农田水利设施管护的主管部门，负责农田水利设施管护办法的修订、完善，管护标准的制定</w:t>
      </w:r>
      <w:r>
        <w:rPr>
          <w:rFonts w:hint="eastAsia" w:ascii="仿宋" w:hAnsi="仿宋" w:eastAsia="仿宋"/>
          <w:sz w:val="32"/>
          <w:szCs w:val="32"/>
          <w:lang w:eastAsia="zh-CN"/>
        </w:rPr>
        <w:t>，是本办法的政策解读机构。</w:t>
      </w:r>
    </w:p>
    <w:p>
      <w:pPr>
        <w:widowControl w:val="0"/>
        <w:numPr>
          <w:numId w:val="0"/>
        </w:numPr>
        <w:wordWrap/>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六、联系方式</w:t>
      </w:r>
    </w:p>
    <w:p>
      <w:pPr>
        <w:widowControl w:val="0"/>
        <w:numPr>
          <w:numId w:val="0"/>
        </w:numPr>
        <w:wordWrap/>
        <w:adjustRightInd/>
        <w:snapToGrid/>
        <w:spacing w:line="560" w:lineRule="exact"/>
        <w:ind w:firstLine="64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农业农村工作委员会  陈小东  联系电话：13598039390</w:t>
      </w:r>
    </w:p>
    <w:p>
      <w:pPr>
        <w:widowControl w:val="0"/>
        <w:numPr>
          <w:numId w:val="0"/>
        </w:numPr>
        <w:wordWrap/>
        <w:adjustRightInd/>
        <w:snapToGrid/>
        <w:spacing w:line="560" w:lineRule="exact"/>
        <w:ind w:firstLine="64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水      利      局  侯清涛  联系电话：18638021789            </w:t>
      </w:r>
    </w:p>
    <w:p>
      <w:pPr>
        <w:widowControl w:val="0"/>
        <w:numPr>
          <w:numId w:val="0"/>
        </w:numPr>
        <w:wordWrap/>
        <w:adjustRightInd/>
        <w:snapToGrid/>
        <w:spacing w:line="560" w:lineRule="exact"/>
        <w:ind w:firstLine="640"/>
        <w:textAlignment w:val="auto"/>
        <w:outlineLvl w:val="9"/>
        <w:rPr>
          <w:rFonts w:hint="eastAsia" w:ascii="仿宋" w:hAnsi="仿宋" w:eastAsia="仿宋"/>
          <w:sz w:val="32"/>
          <w:szCs w:val="32"/>
          <w:lang w:val="en-US" w:eastAsia="zh-CN"/>
        </w:rPr>
      </w:pPr>
    </w:p>
    <w:p>
      <w:pPr>
        <w:widowControl w:val="0"/>
        <w:wordWrap/>
        <w:adjustRightInd/>
        <w:snapToGrid/>
        <w:spacing w:line="580" w:lineRule="exact"/>
        <w:ind w:left="0" w:leftChars="0" w:right="0" w:firstLine="640" w:firstLineChars="200"/>
        <w:jc w:val="both"/>
        <w:textAlignment w:val="auto"/>
        <w:outlineLvl w:val="9"/>
        <w:rPr>
          <w:rFonts w:hint="eastAsia" w:ascii="仿宋_GB2312" w:hAnsi="仿宋_GB2312" w:eastAsia="仿宋_GB2312" w:cs="仿宋_GB2312"/>
          <w:caps w:val="0"/>
          <w:color w:val="000000"/>
          <w:spacing w:val="0"/>
          <w:sz w:val="32"/>
          <w:szCs w:val="32"/>
          <w:shd w:val="clear" w:color="060000" w:fill="FFFFFF"/>
          <w:lang w:val="en-US" w:eastAsia="zh-CN"/>
        </w:rPr>
      </w:pPr>
    </w:p>
    <w:p>
      <w:pPr>
        <w:widowControl w:val="0"/>
        <w:wordWrap/>
        <w:adjustRightInd/>
        <w:snapToGrid/>
        <w:spacing w:line="580" w:lineRule="exact"/>
        <w:ind w:left="0" w:leftChars="0" w:right="0" w:firstLine="5760" w:firstLineChars="1800"/>
        <w:jc w:val="both"/>
        <w:textAlignment w:val="auto"/>
        <w:outlineLvl w:val="9"/>
        <w:rPr>
          <w:rFonts w:hint="eastAsia" w:ascii="仿宋_GB2312" w:hAnsi="仿宋_GB2312" w:eastAsia="仿宋_GB2312" w:cs="仿宋_GB2312"/>
          <w:caps w:val="0"/>
          <w:color w:val="000000"/>
          <w:spacing w:val="0"/>
          <w:sz w:val="32"/>
          <w:szCs w:val="32"/>
          <w:shd w:val="clear" w:color="060000" w:fill="FFFFFF"/>
          <w:lang w:val="en-US" w:eastAsia="zh-CN"/>
        </w:rPr>
      </w:pPr>
      <w:bookmarkStart w:id="0" w:name="_GoBack"/>
      <w:bookmarkEnd w:id="0"/>
    </w:p>
    <w:sectPr>
      <w:footerReference r:id="rId4" w:type="default"/>
      <w:pgSz w:w="11906" w:h="16838"/>
      <w:pgMar w:top="1440" w:right="1474" w:bottom="1440" w:left="1474" w:header="851" w:footer="992" w:gutter="0"/>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89648939">
    <w:nsid w:val="EDCD362B"/>
    <w:multiLevelType w:val="singleLevel"/>
    <w:tmpl w:val="EDCD362B"/>
    <w:lvl w:ilvl="0" w:tentative="1">
      <w:start w:val="1"/>
      <w:numFmt w:val="chineseCounting"/>
      <w:suff w:val="nothing"/>
      <w:lvlText w:val="%1、"/>
      <w:lvlJc w:val="left"/>
      <w:rPr>
        <w:rFonts w:hint="eastAsia"/>
      </w:rPr>
    </w:lvl>
  </w:abstractNum>
  <w:num w:numId="1">
    <w:abstractNumId w:val="39896489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paragraph" w:styleId="2">
    <w:name w:val="Body Text"/>
    <w:basedOn w:val="1"/>
    <w:qFormat/>
    <w:uiPriority w:val="0"/>
    <w:pPr>
      <w:tabs>
        <w:tab w:val="left" w:pos="3510"/>
      </w:tabs>
      <w:spacing w:line="240" w:lineRule="atLeast"/>
      <w:jc w:val="center"/>
    </w:pPr>
    <w:rPr>
      <w:rFonts w:ascii="宋体"/>
      <w:sz w:val="44"/>
    </w:rPr>
  </w:style>
  <w:style w:type="paragraph" w:styleId="3">
    <w:name w:val="Body Text Indent 2"/>
    <w:basedOn w:val="1"/>
    <w:qFormat/>
    <w:uiPriority w:val="0"/>
    <w:pPr>
      <w:ind w:firstLine="640" w:firstLineChars="200"/>
    </w:pPr>
    <w:rPr>
      <w:rFonts w:ascii="仿宋_GB2312" w:eastAsia="仿宋_GB2312"/>
      <w:color w:val="000000"/>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2017-06-29T02:19:00Z</dcterms:created>
  <dc:creator>Administrator</dc:creator>
  <cp:lastModifiedBy>水务局</cp:lastModifiedBy>
  <cp:lastPrinted>2017-12-06T03:16:00Z</cp:lastPrinted>
  <dcterms:modified xsi:type="dcterms:W3CDTF">2021-12-23T09:04:09Z</dcterms:modified>
  <dc:title>《新郑市农田水利设施管护办法》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