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wp14="http://schemas.microsoft.com/office/word/2010/wordprocessingDrawing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方正小标宋简体" w:hint="eastAsia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ascii="方正小标宋简体" w:eastAsia="方正小标宋简体" w:cs="方正小标宋简体" w:hint="eastAsia"/>
          <w:color w:val="000000"/>
          <w:spacing w:val="0"/>
          <w:w w:val="100"/>
          <w:kern w:val="0"/>
          <w:sz w:val="44"/>
          <w:szCs w:val="44"/>
          <w:lang w:val="en-US" w:eastAsia="zh-CN" w:bidi="ar-SA"/>
        </w:rPr>
        <w:t>新郑市教育局2024年“双随机、一公开”抽查事项清单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  <w:bookmarkEnd w:id="0"/>
    </w:p>
    <w:tbl>
      <w:tblPr>
        <w:jc w:val="center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1118"/>
        <w:gridCol w:w="1133"/>
        <w:gridCol w:w="980"/>
        <w:gridCol w:w="3961"/>
        <w:gridCol w:w="794"/>
        <w:gridCol w:w="1215"/>
        <w:gridCol w:w="1117"/>
        <w:gridCol w:w="3980"/>
      </w:tblGrid>
      <w:tr>
        <w:trPr>
          <w:trHeight w:val="574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黑体" w:eastAsia="黑体" w:cs="黑体" w:hint="eastAsia"/>
                <w:sz w:val="21"/>
                <w:szCs w:val="21"/>
                <w:lang w:bidi="ar-SA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bidi="ar-SA"/>
              </w:rPr>
              <w:t>序号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黑体" w:eastAsia="黑体" w:cs="黑体" w:hint="eastAsia"/>
                <w:sz w:val="21"/>
                <w:szCs w:val="21"/>
                <w:lang w:eastAsia="zh-CN" w:bidi="ar-SA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eastAsia="zh-CN" w:bidi="ar-SA"/>
              </w:rPr>
              <w:t>责任单位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黑体" w:eastAsia="黑体" w:cs="黑体" w:hint="eastAsia"/>
                <w:sz w:val="21"/>
                <w:szCs w:val="21"/>
                <w:lang w:bidi="ar-SA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bidi="ar-SA"/>
              </w:rPr>
              <w:t>抽查事项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黑体" w:eastAsia="黑体" w:cs="黑体" w:hint="eastAsia"/>
                <w:sz w:val="21"/>
                <w:szCs w:val="21"/>
                <w:lang w:eastAsia="zh-CN" w:bidi="ar-SA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eastAsia="zh-CN" w:bidi="ar-SA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黑体" w:eastAsia="黑体" w:cs="黑体" w:hint="eastAsia"/>
                <w:sz w:val="21"/>
                <w:szCs w:val="21"/>
                <w:lang w:eastAsia="zh-CN" w:bidi="ar-SA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eastAsia="zh-CN" w:bidi="ar-SA"/>
              </w:rPr>
              <w:t>对象</w:t>
            </w:r>
          </w:p>
        </w:tc>
        <w:tc>
          <w:tcPr>
            <w:tcW w:w="3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黑体" w:eastAsia="黑体" w:cs="黑体" w:hint="eastAsia"/>
                <w:sz w:val="21"/>
                <w:szCs w:val="21"/>
                <w:lang w:eastAsia="zh-CN" w:bidi="ar-SA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eastAsia="zh-CN" w:bidi="ar-SA"/>
              </w:rPr>
              <w:t>检查内容</w:t>
            </w: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黑体" w:eastAsia="黑体" w:cs="黑体" w:hint="eastAsia"/>
                <w:sz w:val="21"/>
                <w:szCs w:val="21"/>
                <w:lang w:eastAsia="zh-CN" w:bidi="ar-SA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eastAsia="zh-CN" w:bidi="ar-SA"/>
              </w:rPr>
              <w:t>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黑体" w:eastAsia="黑体" w:cs="黑体" w:hint="eastAsia"/>
                <w:sz w:val="21"/>
                <w:szCs w:val="21"/>
                <w:lang w:eastAsia="zh-CN" w:bidi="ar-SA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eastAsia="zh-CN" w:bidi="ar-SA"/>
              </w:rPr>
              <w:t>类别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黑体" w:eastAsia="黑体" w:cs="黑体" w:hint="eastAsia"/>
                <w:sz w:val="21"/>
                <w:szCs w:val="21"/>
                <w:lang w:eastAsia="zh-CN" w:bidi="ar-SA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eastAsia="zh-CN" w:bidi="ar-SA"/>
              </w:rPr>
              <w:t>检查方式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黑体" w:eastAsia="黑体" w:cs="黑体" w:hint="eastAsia"/>
                <w:sz w:val="21"/>
                <w:szCs w:val="21"/>
                <w:lang w:eastAsia="zh-CN" w:bidi="ar-SA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eastAsia="zh-CN" w:bidi="ar-SA"/>
              </w:rPr>
              <w:t>检查部门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黑体" w:eastAsia="黑体" w:cs="黑体" w:hint="eastAsia"/>
                <w:sz w:val="21"/>
                <w:szCs w:val="21"/>
                <w:lang w:eastAsia="zh-CN" w:bidi="ar-SA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eastAsia="zh-CN" w:bidi="ar-SA"/>
              </w:rPr>
              <w:t>实施层级</w:t>
            </w:r>
          </w:p>
        </w:tc>
        <w:tc>
          <w:tcPr>
            <w:tcW w:w="3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黑体" w:eastAsia="黑体" w:cs="黑体" w:hint="eastAsia"/>
                <w:sz w:val="21"/>
                <w:szCs w:val="21"/>
                <w:lang w:bidi="ar-SA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bidi="ar-SA"/>
              </w:rPr>
              <w:t>抽查依据</w:t>
            </w:r>
          </w:p>
        </w:tc>
      </w:tr>
      <w:tr>
        <w:trPr>
          <w:trHeight w:val="2438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黑体" w:eastAsia="黑体" w:cs="黑体" w:hint="eastAsia"/>
                <w:sz w:val="21"/>
                <w:szCs w:val="21"/>
                <w:lang w:val="en-US" w:eastAsia="zh-CN" w:bidi="ar-SA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bidi="ar-SA"/>
              </w:rPr>
              <w:t>市教育局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民办学校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年度检查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民办中小学、幼儿园</w:t>
            </w:r>
          </w:p>
        </w:tc>
        <w:tc>
          <w:tcPr>
            <w:tcW w:w="3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/>
              <w:textAlignment w:val="auto"/>
              <w:rPr>
                <w:rFonts w:ascii="仿宋_GB2312" w:eastAsia="仿宋_GB2312" w:cs="仿宋_GB2312" w:hint="eastAsia"/>
                <w:szCs w:val="21"/>
                <w:lang w:bidi="ar-SA"/>
              </w:rPr>
            </w:pPr>
            <w:r>
              <w:rPr>
                <w:rFonts w:ascii="仿宋_GB2312" w:eastAsia="仿宋_GB2312" w:cs="仿宋_GB2312" w:hint="eastAsia"/>
                <w:szCs w:val="21"/>
                <w:lang w:val="en-US" w:eastAsia="zh-CN" w:bidi="ar-SA"/>
              </w:rPr>
              <w:t>1.党的建设；2.办学条件；3.依法治校；4.财务资产管理；5.办学行为；6.师生权益；7.校园安全。</w:t>
            </w: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事项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left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实地检查、听取汇报、查看资料、组织座谈等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市教育局</w:t>
            </w:r>
          </w:p>
        </w:tc>
        <w:tc>
          <w:tcPr>
            <w:tcW w:w="3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《中华人民共和国民办教育促进法》第四十一条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《教育部办公厅关于印发民办中小学年度检查指标体系（试行）的通知》（教发厅函〔2021〕40号）、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 w:cs="仿宋_GB2312" w:hint="eastAsia"/>
                <w:color w:val="000000"/>
                <w:szCs w:val="21"/>
                <w:lang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《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bidi="ar-SA"/>
              </w:rPr>
              <w:t>新郑市教育局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eastAsia="zh-CN" w:bidi="ar-SA"/>
              </w:rPr>
              <w:t>关于开展202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val="en-US" w:eastAsia="zh-CN" w:bidi="ar-SA"/>
              </w:rPr>
              <w:t>3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eastAsia="zh-CN" w:bidi="ar-SA"/>
              </w:rPr>
              <w:t>年度民办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val="en-US" w:eastAsia="zh-CN" w:bidi="ar-SA"/>
              </w:rPr>
              <w:t>学校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eastAsia="zh-CN" w:bidi="ar-SA"/>
              </w:rPr>
              <w:t>办学情况检查工作的通知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》(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bidi="ar-SA"/>
              </w:rPr>
              <w:t>新教明电〔20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val="en-US" w:eastAsia="zh-CN" w:bidi="ar-SA"/>
              </w:rPr>
              <w:t>24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bidi="ar-SA"/>
              </w:rPr>
              <w:t>〕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val="en-US" w:eastAsia="zh-CN" w:bidi="ar-SA"/>
              </w:rPr>
              <w:t>26</w:t>
            </w:r>
            <w:r>
              <w:rPr>
                <w:rFonts w:ascii="仿宋_GB2312" w:eastAsia="仿宋_GB2312" w:cs="仿宋_GB2312" w:hint="eastAsia"/>
                <w:color w:val="000000"/>
                <w:szCs w:val="21"/>
                <w:lang w:bidi="ar-SA"/>
              </w:rPr>
              <w:t>号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)</w:t>
            </w:r>
          </w:p>
        </w:tc>
      </w:tr>
      <w:tr>
        <w:trPr>
          <w:trHeight w:val="1625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黑体" w:eastAsia="黑体" w:cs="黑体" w:hint="eastAsia"/>
                <w:sz w:val="21"/>
                <w:szCs w:val="21"/>
                <w:lang w:val="en-US" w:eastAsia="zh-CN" w:bidi="ar-SA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bidi="ar-SA"/>
              </w:rPr>
              <w:t>市教育局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left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中小学、幼儿园春季校园安全工作大检查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中小学、幼儿园</w:t>
            </w:r>
          </w:p>
        </w:tc>
        <w:tc>
          <w:tcPr>
            <w:tcW w:w="3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 w:cs="仿宋_GB2312" w:hint="eastAsia"/>
                <w:sz w:val="21"/>
                <w:szCs w:val="21"/>
                <w:lang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学校开学前安全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自查，开学后市局组织全面检查。</w:t>
            </w: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事项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left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实地检查、听取汇报、查看资料、组织座谈等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市教育局</w:t>
            </w:r>
          </w:p>
        </w:tc>
        <w:tc>
          <w:tcPr>
            <w:tcW w:w="3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《中小学幼儿园安全防范工作规范》（试行）第十六条</w:t>
            </w:r>
          </w:p>
        </w:tc>
      </w:tr>
      <w:tr>
        <w:trPr>
          <w:trHeight w:val="1870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黑体" w:eastAsia="黑体" w:cs="黑体" w:hint="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bidi="ar-SA"/>
              </w:rPr>
              <w:t>市教育局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left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中小学、幼儿园秋季校园安全工作大检查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中小学、幼儿园</w:t>
            </w:r>
          </w:p>
        </w:tc>
        <w:tc>
          <w:tcPr>
            <w:tcW w:w="3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 w:cs="仿宋_GB2312" w:hint="eastAsia"/>
                <w:sz w:val="21"/>
                <w:szCs w:val="21"/>
                <w:lang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学校开学前安全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 w:cs="仿宋_GB2312" w:hint="eastAsia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自查，开学后市局组织全面检查。</w:t>
            </w: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事项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left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实地检查、听取汇报、查看资料、组织座谈等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市教育局</w:t>
            </w:r>
          </w:p>
        </w:tc>
        <w:tc>
          <w:tcPr>
            <w:tcW w:w="3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_GB2312" w:eastAsia="仿宋_GB2312" w:cs="仿宋_GB2312" w:hint="eastAsia"/>
                <w:color w:val="000000"/>
                <w:kern w:val="2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《中小学幼儿园安全防范工作规范》（试行）第十六条</w:t>
            </w:r>
          </w:p>
        </w:tc>
      </w:tr>
      <w:tr>
        <w:trPr>
          <w:trHeight w:val="3145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黑体" w:eastAsia="黑体" w:cs="黑体" w:hint="eastAsia"/>
                <w:sz w:val="21"/>
                <w:szCs w:val="21"/>
                <w:lang w:val="en-US" w:eastAsia="zh-CN" w:bidi="ar-SA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val="en-US" w:eastAsia="zh-CN" w:bidi="ar-SA"/>
              </w:rPr>
              <w:t>4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bidi="ar-SA"/>
              </w:rPr>
              <w:t>市教育局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left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学校食堂和传染病防控检查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中小学、幼儿园</w:t>
            </w:r>
          </w:p>
        </w:tc>
        <w:tc>
          <w:tcPr>
            <w:tcW w:w="3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 w:cs="仿宋_GB2312" w:hint="eastAsia"/>
                <w:sz w:val="21"/>
                <w:szCs w:val="21"/>
                <w:lang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1.学校食品安全检查：校外供餐单位和学校的主体责任落实、食品安全管理制度落实、经营资格、冷链等重点食品原料管控、餐饮具清洗消毒、规范食品加工制作过程、互联网+明厨亮灶运行情况、食品安全宣传教育和培训等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2.学校传染病防控检查：传染病防控各项制度落实、物资储备、学校卫生环境、健康教育资料、师生员工疫苗接种情况等。</w:t>
            </w: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事项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left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实地检查、听取汇报、查看资料等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市教育局</w:t>
            </w:r>
          </w:p>
        </w:tc>
        <w:tc>
          <w:tcPr>
            <w:tcW w:w="3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1.《中华人民共和国食品安全法》《学校食品安全与营养健康管理规定》。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firstLine="0"/>
              <w:jc w:val="left"/>
              <w:textAlignment w:val="auto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2.《中华人民共和国传染病防治法》《学校和托幼机构传染病疫情报告工作规范（试行）》《中小学校传染病预防控制工作管理规范》（GB28932-2012）。</w:t>
            </w:r>
          </w:p>
        </w:tc>
      </w:tr>
      <w:tr>
        <w:trPr>
          <w:trHeight w:val="2760"/>
        </w:trPr>
        <w:tc>
          <w:tcPr>
            <w:tcW w:w="7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黑体" w:eastAsia="黑体" w:cs="黑体" w:hint="eastAsia"/>
                <w:sz w:val="21"/>
                <w:szCs w:val="21"/>
                <w:lang w:val="en-US" w:eastAsia="zh-CN" w:bidi="ar-SA"/>
              </w:rPr>
            </w:pPr>
            <w:r>
              <w:rPr>
                <w:rFonts w:ascii="黑体" w:eastAsia="黑体" w:cs="黑体" w:hint="eastAsia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11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bidi="ar-SA"/>
              </w:rPr>
              <w:t>市教育局</w:t>
            </w:r>
          </w:p>
        </w:tc>
        <w:tc>
          <w:tcPr>
            <w:tcW w:w="113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left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学生资助政策落实情况监督检查</w:t>
            </w:r>
          </w:p>
        </w:tc>
        <w:tc>
          <w:tcPr>
            <w:tcW w:w="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中小学、幼儿园</w:t>
            </w:r>
          </w:p>
        </w:tc>
        <w:tc>
          <w:tcPr>
            <w:tcW w:w="39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left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学生资助政策落实</w:t>
            </w:r>
            <w:r>
              <w:rPr>
                <w:rFonts w:ascii="仿宋_GB2312" w:cs="仿宋_GB2312" w:hAnsi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情</w:t>
            </w: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况</w:t>
            </w:r>
          </w:p>
        </w:tc>
        <w:tc>
          <w:tcPr>
            <w:tcW w:w="79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一般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事项</w:t>
            </w:r>
          </w:p>
        </w:tc>
        <w:tc>
          <w:tcPr>
            <w:tcW w:w="12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现场检查</w:t>
            </w:r>
          </w:p>
        </w:tc>
        <w:tc>
          <w:tcPr>
            <w:tcW w:w="11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20" w:lineRule="exact"/>
              <w:ind w:left="0" w:right="0" w:firstLine="0"/>
              <w:jc w:val="center"/>
              <w:textAlignment w:val="auto"/>
              <w:outlineLvl w:val="9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  <w:t>市教育局</w:t>
            </w:r>
          </w:p>
        </w:tc>
        <w:tc>
          <w:tcPr>
            <w:tcW w:w="398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1.《中华人民共和国教育法》(2015修正)第三十八条、第四十三条。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 w:cs="仿宋_GB2312" w:hint="eastAsia"/>
                <w:sz w:val="21"/>
                <w:szCs w:val="21"/>
                <w:lang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2.《中华人民共和国义务教育法》第六条、第四十四条。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 w:cs="仿宋_GB2312" w:hint="eastAsia"/>
                <w:sz w:val="21"/>
                <w:szCs w:val="21"/>
                <w:lang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3.《中华人民共和国职业教育法》第三十二条、第三十五条。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 w:cs="仿宋_GB2312" w:hint="eastAsia"/>
                <w:sz w:val="21"/>
                <w:szCs w:val="21"/>
                <w:lang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4.《中华人民共和国高等教育法》第九条、第五十四、五十五、五十九条。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 w:cs="仿宋_GB2312" w:hint="eastAsia"/>
                <w:sz w:val="21"/>
                <w:szCs w:val="21"/>
                <w:lang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5.《中华人民共和国残疾人保障法》第十八条。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 w:cs="仿宋_GB2312" w:hint="eastAsia"/>
                <w:sz w:val="21"/>
                <w:szCs w:val="21"/>
                <w:lang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6.《中共中央国务院关于打赢脱贫攻坚战的决定》（中发〔2015〕34号）（九）着力加强教育脱贫。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_GB2312" w:eastAsia="仿宋_GB2312" w:cs="仿宋_GB2312" w:hint="eastAsia"/>
                <w:color w:val="000000"/>
                <w:sz w:val="21"/>
                <w:szCs w:val="21"/>
                <w:shd w:val="clear" w:color="auto" w:fill="FFFFFF"/>
                <w:lang w:val="en-US" w:eastAsia="zh-CN" w:bidi="ar-SA"/>
              </w:rPr>
            </w:pPr>
            <w:r>
              <w:rPr>
                <w:rFonts w:ascii="仿宋_GB2312" w:eastAsia="仿宋_GB2312" w:cs="仿宋_GB2312" w:hint="eastAsia"/>
                <w:color w:val="000000"/>
                <w:kern w:val="0"/>
                <w:sz w:val="21"/>
                <w:szCs w:val="21"/>
                <w:lang w:val="en-US" w:eastAsia="zh-CN" w:bidi="ar-SA"/>
              </w:rPr>
              <w:t>7.《社会救助暂行办法》（2014年国务院令第649 号）第六章教育救助。</w:t>
            </w:r>
          </w:p>
        </w:tc>
      </w:tr>
    </w:tbl>
    <w:p>
      <w:pPr>
        <w:pStyle w:val="15"/>
        <w:ind w:left="0" w:firstLine="0"/>
        <w:rPr>
          <w:rFonts w:hint="eastAsia"/>
        </w:rPr>
      </w:pPr>
    </w:p>
    <w:p/>
    <w:sectPr>
      <w:pgSz w:w="16838" w:h="11906" w:orient="landscape"/>
      <w:pgMar w:top="1701" w:right="1474" w:bottom="1361" w:left="1474" w:header="851" w:footer="1134" w:gutter="0"/>
      <w:pgNumType w:fmt="numberInDash"/>
      <w:titlePg/>
      <w:docGrid w:type="lines" w:linePitch="32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2000000000000000000"/>
    <w:charset w:val="86"/>
    <w:family w:val="script"/>
    <w:pitch w:val="variable"/>
    <w:sig w:usb0="A00002BF" w:usb1="184F6CFA" w:usb2="00000012" w:usb3="00000000" w:csb0="00040001" w:csb1="00000000"/>
  </w:font>
  <w:font w:name="黑体">
    <w:altName w:val="华文细黑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altName w:val="华文宋体"/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2000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72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balanceSingleByteDoubleByteWidth/>
    <w:ulTrailSpace/>
    <w:doNotExpandShiftReturn/>
    <w:adjustLineHeightInTable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Lucida Sans"/>
        <w:lang w:val="en-US" w:eastAsia="zh-CN" w:bidi="ar-SA"/>
      </w:rPr>
    </w:rPrDefault>
    <w:pPrDefault/>
  </w:docDefaults>
  <w:style w:type="paragraph" w:default="1" w:styleId="0">
    <w:name w:val="Normal"/>
    <w:next w:val="15"/>
    <w:pPr>
      <w:widowControl w:val="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index 5"/>
    <w:basedOn w:val="0"/>
    <w:autoRedefine/>
    <w:next w:val="0"/>
    <w:pPr>
      <w:widowControl w:val="0"/>
      <w:ind w:left="1680"/>
      <w:jc w:val="both"/>
    </w:pPr>
    <w:rPr>
      <w:rFonts w:ascii="Times New Roman" w:eastAsia="宋体" w:cs="Times New Roman" w:hAnsi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ustomData xmlns="http://www.yozosoft.com.cn/officeDocument/2016/customData">
  <customProps>
    <docPr revisions="3 0 5 0 0 0 1 0 0 0 3000 0 1 1 1 1"/>
    <sectPr/>
  </customProps>
</customData>
</file>

<file path=customXml/itemProps1.xml><?xml version="1.0" encoding="utf-8"?>
<ds:datastoreItem xmlns:ds="http://schemas.openxmlformats.org/officeDocument/2006/customXml" ds:itemID="{FD299CAA-ABC3-4DFD-BCD6-D8AF91345867}">
  <ds:schemaRefs>
    <ds:schemaRef ds:uri="http://www.yozosoft.com.cn/officeDocument/2016/customData"/>
  </ds:schemaRefs>
</ds:datastoreItem>
</file>

<file path=docProps/app.xml><?xml version="1.0" encoding="utf-8"?>
<Properties xmlns="http://schemas.openxmlformats.org/officeDocument/2006/extended-properties">
  <Template>Normal.eit</Template>
  <TotalTime>0</TotalTime>
  <Application>Yozo_Office27021597764231179</Application>
  <Pages>2</Pages>
  <Words>0</Words>
  <Characters>884</Characters>
  <Lines>0</Lines>
  <Paragraphs>5</Paragraphs>
  <CharactersWithSpaces>1179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greatwall</dc:creator>
  <cp:lastModifiedBy>greatwall</cp:lastModifiedBy>
  <cp:revision>1</cp:revision>
  <dcterms:created xsi:type="dcterms:W3CDTF">2024-04-10T07:48:41Z</dcterms:created>
  <dcterms:modified xsi:type="dcterms:W3CDTF">2024-04-10T07:49:25Z</dcterms:modified>
</cp:coreProperties>
</file>