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hint="eastAsia" w:ascii="仿宋_GB2312" w:eastAsia="仿宋_GB2312"/>
        </w:rPr>
      </w:pPr>
      <w:r>
        <w:rPr>
          <w:rFonts w:hint="eastAsia" w:ascii="方正小标宋简体" w:hAnsi="宋体" w:eastAsia="方正小标宋简体" w:cs="宋体"/>
          <w:color w:val="000000"/>
          <w:sz w:val="40"/>
          <w:szCs w:val="40"/>
        </w:rPr>
        <w:t>截止至2022年6月应结题的科技计划项目汇总表</w:t>
      </w:r>
    </w:p>
    <w:tbl>
      <w:tblPr>
        <w:tblStyle w:val="4"/>
        <w:tblW w:w="14932" w:type="dxa"/>
        <w:jc w:val="center"/>
        <w:tblLayout w:type="fixed"/>
        <w:tblCellMar>
          <w:top w:w="15" w:type="dxa"/>
          <w:left w:w="15" w:type="dxa"/>
          <w:bottom w:w="15" w:type="dxa"/>
          <w:right w:w="15" w:type="dxa"/>
        </w:tblCellMar>
      </w:tblPr>
      <w:tblGrid>
        <w:gridCol w:w="672"/>
        <w:gridCol w:w="3657"/>
        <w:gridCol w:w="1420"/>
        <w:gridCol w:w="4381"/>
        <w:gridCol w:w="2151"/>
        <w:gridCol w:w="1119"/>
        <w:gridCol w:w="1532"/>
      </w:tblGrid>
      <w:tr>
        <w:tblPrEx>
          <w:tblCellMar>
            <w:top w:w="15" w:type="dxa"/>
            <w:left w:w="15" w:type="dxa"/>
            <w:bottom w:w="15" w:type="dxa"/>
            <w:right w:w="15" w:type="dxa"/>
          </w:tblCellMar>
        </w:tblPrEx>
        <w:trPr>
          <w:trHeight w:val="567" w:hRule="atLeast"/>
          <w:tblHeader/>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00" w:lineRule="exact"/>
              <w:jc w:val="center"/>
              <w:rPr>
                <w:rFonts w:hint="eastAsia" w:ascii="黑体" w:hAnsi="宋体" w:eastAsia="黑体"/>
                <w:bCs/>
                <w:color w:val="000000"/>
                <w:sz w:val="24"/>
                <w:szCs w:val="24"/>
              </w:rPr>
            </w:pPr>
            <w:r>
              <w:rPr>
                <w:rFonts w:hint="eastAsia" w:ascii="黑体" w:hAnsi="宋体" w:eastAsia="黑体"/>
                <w:bCs/>
                <w:color w:val="000000"/>
                <w:sz w:val="24"/>
                <w:szCs w:val="24"/>
              </w:rPr>
              <w:t>序号</w:t>
            </w:r>
          </w:p>
        </w:tc>
        <w:tc>
          <w:tcPr>
            <w:tcW w:w="3657" w:type="dxa"/>
            <w:tcBorders>
              <w:top w:val="single" w:color="000000" w:sz="4" w:space="0"/>
              <w:left w:val="nil"/>
              <w:right w:val="single" w:color="000000" w:sz="4" w:space="0"/>
            </w:tcBorders>
            <w:noWrap w:val="0"/>
            <w:vAlign w:val="center"/>
          </w:tcPr>
          <w:p>
            <w:pPr>
              <w:spacing w:after="0" w:line="300" w:lineRule="exact"/>
              <w:jc w:val="center"/>
              <w:rPr>
                <w:rFonts w:hint="eastAsia" w:ascii="黑体" w:hAnsi="宋体" w:eastAsia="黑体"/>
                <w:bCs/>
                <w:color w:val="000000"/>
                <w:sz w:val="24"/>
                <w:szCs w:val="24"/>
              </w:rPr>
            </w:pPr>
            <w:r>
              <w:rPr>
                <w:rFonts w:hint="eastAsia" w:ascii="黑体" w:hAnsi="宋体" w:eastAsia="黑体"/>
                <w:bCs/>
                <w:color w:val="000000"/>
                <w:sz w:val="24"/>
                <w:szCs w:val="24"/>
              </w:rPr>
              <w:t>申报单位</w:t>
            </w:r>
          </w:p>
        </w:tc>
        <w:tc>
          <w:tcPr>
            <w:tcW w:w="1420" w:type="dxa"/>
            <w:tcBorders>
              <w:top w:val="single" w:color="000000" w:sz="4" w:space="0"/>
              <w:left w:val="nil"/>
              <w:right w:val="single" w:color="000000" w:sz="4" w:space="0"/>
            </w:tcBorders>
            <w:noWrap w:val="0"/>
            <w:vAlign w:val="center"/>
          </w:tcPr>
          <w:p>
            <w:pPr>
              <w:spacing w:after="0" w:line="300" w:lineRule="exact"/>
              <w:jc w:val="center"/>
              <w:rPr>
                <w:rFonts w:hint="eastAsia" w:ascii="黑体" w:hAnsi="宋体" w:eastAsia="黑体"/>
                <w:bCs/>
                <w:color w:val="000000"/>
                <w:sz w:val="24"/>
                <w:szCs w:val="24"/>
              </w:rPr>
            </w:pPr>
            <w:r>
              <w:rPr>
                <w:rFonts w:hint="eastAsia" w:ascii="黑体" w:hAnsi="宋体" w:eastAsia="黑体"/>
                <w:bCs/>
                <w:color w:val="000000"/>
                <w:sz w:val="24"/>
                <w:szCs w:val="24"/>
              </w:rPr>
              <w:t>项目编号</w:t>
            </w:r>
          </w:p>
        </w:tc>
        <w:tc>
          <w:tcPr>
            <w:tcW w:w="4381" w:type="dxa"/>
            <w:tcBorders>
              <w:top w:val="single" w:color="000000" w:sz="4" w:space="0"/>
              <w:left w:val="nil"/>
              <w:right w:val="single" w:color="000000" w:sz="4" w:space="0"/>
            </w:tcBorders>
            <w:noWrap w:val="0"/>
            <w:vAlign w:val="center"/>
          </w:tcPr>
          <w:p>
            <w:pPr>
              <w:spacing w:after="0" w:line="300" w:lineRule="exact"/>
              <w:jc w:val="center"/>
              <w:rPr>
                <w:rFonts w:hint="eastAsia" w:ascii="黑体" w:hAnsi="宋体" w:eastAsia="黑体"/>
                <w:bCs/>
                <w:color w:val="000000"/>
                <w:sz w:val="24"/>
                <w:szCs w:val="24"/>
              </w:rPr>
            </w:pPr>
            <w:r>
              <w:rPr>
                <w:rFonts w:hint="eastAsia" w:ascii="黑体" w:hAnsi="宋体" w:eastAsia="黑体"/>
                <w:bCs/>
                <w:color w:val="000000"/>
                <w:sz w:val="24"/>
                <w:szCs w:val="24"/>
              </w:rPr>
              <w:t>项目名称</w:t>
            </w:r>
          </w:p>
        </w:tc>
        <w:tc>
          <w:tcPr>
            <w:tcW w:w="2151" w:type="dxa"/>
            <w:tcBorders>
              <w:top w:val="single" w:color="000000" w:sz="4" w:space="0"/>
              <w:left w:val="nil"/>
              <w:right w:val="single" w:color="000000" w:sz="4" w:space="0"/>
            </w:tcBorders>
            <w:noWrap w:val="0"/>
            <w:vAlign w:val="center"/>
          </w:tcPr>
          <w:p>
            <w:pPr>
              <w:spacing w:after="0" w:line="300" w:lineRule="exact"/>
              <w:jc w:val="center"/>
              <w:rPr>
                <w:rFonts w:hint="eastAsia" w:ascii="黑体" w:hAnsi="宋体" w:eastAsia="黑体"/>
                <w:bCs/>
                <w:color w:val="000000"/>
                <w:sz w:val="24"/>
                <w:szCs w:val="24"/>
              </w:rPr>
            </w:pPr>
            <w:r>
              <w:rPr>
                <w:rFonts w:hint="eastAsia" w:ascii="黑体" w:hAnsi="宋体" w:eastAsia="黑体"/>
                <w:bCs/>
                <w:color w:val="000000"/>
                <w:sz w:val="24"/>
                <w:szCs w:val="24"/>
              </w:rPr>
              <w:t>项目执行期</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00" w:lineRule="exact"/>
              <w:jc w:val="center"/>
              <w:rPr>
                <w:rFonts w:hint="eastAsia" w:ascii="黑体" w:hAnsi="宋体" w:eastAsia="黑体"/>
                <w:bCs/>
                <w:color w:val="000000"/>
                <w:sz w:val="24"/>
                <w:szCs w:val="24"/>
              </w:rPr>
            </w:pPr>
            <w:r>
              <w:rPr>
                <w:rFonts w:hint="eastAsia" w:ascii="黑体" w:hAnsi="宋体" w:eastAsia="黑体"/>
                <w:bCs/>
                <w:color w:val="000000"/>
                <w:sz w:val="24"/>
                <w:szCs w:val="24"/>
              </w:rPr>
              <w:t>责任科室</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00" w:lineRule="exact"/>
              <w:jc w:val="center"/>
              <w:rPr>
                <w:rFonts w:hint="eastAsia" w:ascii="黑体" w:hAnsi="宋体" w:eastAsia="黑体"/>
                <w:bCs/>
                <w:color w:val="000000"/>
                <w:sz w:val="24"/>
                <w:szCs w:val="24"/>
              </w:rPr>
            </w:pPr>
            <w:r>
              <w:rPr>
                <w:rFonts w:hint="eastAsia" w:ascii="黑体" w:hAnsi="宋体" w:eastAsia="黑体"/>
                <w:bCs/>
                <w:color w:val="000000"/>
                <w:sz w:val="24"/>
                <w:szCs w:val="24"/>
              </w:rPr>
              <w:t>备注</w:t>
            </w:r>
          </w:p>
        </w:tc>
      </w:tr>
      <w:tr>
        <w:tblPrEx>
          <w:tblCellMar>
            <w:top w:w="15" w:type="dxa"/>
            <w:left w:w="15" w:type="dxa"/>
            <w:bottom w:w="15" w:type="dxa"/>
            <w:right w:w="15" w:type="dxa"/>
          </w:tblCellMar>
        </w:tblPrEx>
        <w:trPr>
          <w:trHeight w:val="822"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宋体" w:hAnsi="宋体" w:eastAsia="宋体"/>
                <w:color w:val="000000"/>
              </w:rPr>
              <w:t>1</w:t>
            </w:r>
          </w:p>
        </w:tc>
        <w:tc>
          <w:tcPr>
            <w:tcW w:w="3657"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河南永泽环境科技有限公司</w:t>
            </w:r>
          </w:p>
        </w:tc>
        <w:tc>
          <w:tcPr>
            <w:tcW w:w="1420"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2016KJHM05</w:t>
            </w:r>
          </w:p>
        </w:tc>
        <w:tc>
          <w:tcPr>
            <w:tcW w:w="4381" w:type="dxa"/>
            <w:tcBorders>
              <w:top w:val="single" w:color="000000" w:sz="4" w:space="0"/>
              <w:left w:val="nil"/>
              <w:bottom w:val="single" w:color="000000" w:sz="4" w:space="0"/>
              <w:right w:val="single" w:color="000000" w:sz="4" w:space="0"/>
            </w:tcBorders>
            <w:noWrap w:val="0"/>
            <w:vAlign w:val="center"/>
          </w:tcPr>
          <w:p>
            <w:pPr>
              <w:spacing w:after="0" w:line="320" w:lineRule="exact"/>
              <w:jc w:val="both"/>
              <w:rPr>
                <w:rFonts w:ascii="仿宋_GB2312" w:hAnsi="宋体" w:eastAsia="仿宋_GB2312"/>
                <w:color w:val="000000"/>
                <w:sz w:val="24"/>
                <w:szCs w:val="24"/>
              </w:rPr>
            </w:pPr>
            <w:r>
              <w:rPr>
                <w:rFonts w:hint="eastAsia" w:ascii="仿宋_GB2312" w:hAnsi="宋体" w:eastAsia="仿宋_GB2312"/>
                <w:color w:val="000000"/>
                <w:sz w:val="24"/>
                <w:szCs w:val="24"/>
              </w:rPr>
              <w:t>城镇污水处理厂剩余污泥与餐厨垃圾协同厌氧消化处理技术集成与示范</w:t>
            </w:r>
          </w:p>
        </w:tc>
        <w:tc>
          <w:tcPr>
            <w:tcW w:w="2151"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2016.12-2018.12</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农村科</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p>
        </w:tc>
      </w:tr>
      <w:tr>
        <w:tblPrEx>
          <w:tblCellMar>
            <w:top w:w="15" w:type="dxa"/>
            <w:left w:w="15" w:type="dxa"/>
            <w:bottom w:w="15" w:type="dxa"/>
            <w:right w:w="15" w:type="dxa"/>
          </w:tblCellMar>
        </w:tblPrEx>
        <w:trPr>
          <w:trHeight w:val="822"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宋体" w:hAnsi="宋体" w:eastAsia="宋体"/>
                <w:color w:val="000000"/>
              </w:rPr>
              <w:t>2</w:t>
            </w:r>
          </w:p>
        </w:tc>
        <w:tc>
          <w:tcPr>
            <w:tcW w:w="3657"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河南润弘制药股份有限公司</w:t>
            </w:r>
          </w:p>
        </w:tc>
        <w:tc>
          <w:tcPr>
            <w:tcW w:w="1420"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2017ZDZX03</w:t>
            </w:r>
          </w:p>
        </w:tc>
        <w:tc>
          <w:tcPr>
            <w:tcW w:w="4381" w:type="dxa"/>
            <w:tcBorders>
              <w:top w:val="single" w:color="000000" w:sz="4" w:space="0"/>
              <w:left w:val="nil"/>
              <w:bottom w:val="single" w:color="000000" w:sz="4" w:space="0"/>
              <w:right w:val="single" w:color="000000" w:sz="4" w:space="0"/>
            </w:tcBorders>
            <w:noWrap w:val="0"/>
            <w:vAlign w:val="center"/>
          </w:tcPr>
          <w:p>
            <w:pPr>
              <w:spacing w:after="0" w:line="320" w:lineRule="exact"/>
              <w:jc w:val="both"/>
              <w:rPr>
                <w:rFonts w:ascii="仿宋_GB2312" w:hAnsi="宋体" w:eastAsia="仿宋_GB2312"/>
                <w:color w:val="000000"/>
                <w:sz w:val="24"/>
                <w:szCs w:val="24"/>
              </w:rPr>
            </w:pPr>
            <w:r>
              <w:rPr>
                <w:rFonts w:hint="eastAsia" w:ascii="仿宋_GB2312" w:hAnsi="宋体" w:eastAsia="仿宋_GB2312"/>
                <w:color w:val="000000"/>
                <w:sz w:val="24"/>
                <w:szCs w:val="24"/>
              </w:rPr>
              <w:t>甲硫酸新斯的明注射剂的一致性评价及产业化</w:t>
            </w:r>
          </w:p>
        </w:tc>
        <w:tc>
          <w:tcPr>
            <w:tcW w:w="2151"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2017.1-2020.12</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农村科</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仿宋_GB2312" w:hAnsi="宋体" w:eastAsia="仿宋_GB2312"/>
                <w:color w:val="000000"/>
                <w:sz w:val="24"/>
                <w:szCs w:val="24"/>
              </w:rPr>
              <w:t>2021延期</w:t>
            </w:r>
          </w:p>
        </w:tc>
      </w:tr>
      <w:tr>
        <w:tblPrEx>
          <w:tblCellMar>
            <w:top w:w="15" w:type="dxa"/>
            <w:left w:w="15" w:type="dxa"/>
            <w:bottom w:w="15" w:type="dxa"/>
            <w:right w:w="15" w:type="dxa"/>
          </w:tblCellMar>
        </w:tblPrEx>
        <w:trPr>
          <w:trHeight w:val="822"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宋体" w:hAnsi="宋体" w:eastAsia="宋体"/>
                <w:color w:val="000000"/>
              </w:rPr>
              <w:t>3</w:t>
            </w:r>
          </w:p>
        </w:tc>
        <w:tc>
          <w:tcPr>
            <w:tcW w:w="3657"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遂成药业股份有限公司</w:t>
            </w:r>
          </w:p>
        </w:tc>
        <w:tc>
          <w:tcPr>
            <w:tcW w:w="1420"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2017ZDZX04</w:t>
            </w:r>
          </w:p>
        </w:tc>
        <w:tc>
          <w:tcPr>
            <w:tcW w:w="4381" w:type="dxa"/>
            <w:tcBorders>
              <w:top w:val="single" w:color="000000" w:sz="4" w:space="0"/>
              <w:left w:val="nil"/>
              <w:bottom w:val="single" w:color="000000" w:sz="4" w:space="0"/>
              <w:right w:val="single" w:color="000000" w:sz="4" w:space="0"/>
            </w:tcBorders>
            <w:noWrap w:val="0"/>
            <w:vAlign w:val="center"/>
          </w:tcPr>
          <w:p>
            <w:pPr>
              <w:spacing w:after="0" w:line="320" w:lineRule="exact"/>
              <w:jc w:val="both"/>
              <w:rPr>
                <w:rFonts w:ascii="仿宋_GB2312" w:hAnsi="宋体" w:eastAsia="仿宋_GB2312"/>
                <w:color w:val="000000"/>
                <w:sz w:val="24"/>
                <w:szCs w:val="24"/>
              </w:rPr>
            </w:pPr>
            <w:r>
              <w:rPr>
                <w:rFonts w:hint="eastAsia" w:ascii="仿宋_GB2312" w:hAnsi="宋体" w:eastAsia="仿宋_GB2312"/>
                <w:color w:val="000000"/>
                <w:sz w:val="24"/>
                <w:szCs w:val="24"/>
              </w:rPr>
              <w:t>氟康唑片药物一致性评价研究开发及产业化</w:t>
            </w:r>
          </w:p>
        </w:tc>
        <w:tc>
          <w:tcPr>
            <w:tcW w:w="2151"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2017.5-2019.10</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农村科</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p>
        </w:tc>
      </w:tr>
      <w:tr>
        <w:tblPrEx>
          <w:tblCellMar>
            <w:top w:w="15" w:type="dxa"/>
            <w:left w:w="15" w:type="dxa"/>
            <w:bottom w:w="15" w:type="dxa"/>
            <w:right w:w="15" w:type="dxa"/>
          </w:tblCellMar>
        </w:tblPrEx>
        <w:trPr>
          <w:trHeight w:val="822"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宋体" w:hAnsi="宋体" w:eastAsia="宋体"/>
                <w:color w:val="000000"/>
              </w:rPr>
              <w:t>4</w:t>
            </w:r>
          </w:p>
        </w:tc>
        <w:tc>
          <w:tcPr>
            <w:tcW w:w="3657"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河南润弘制药股份有限公司</w:t>
            </w:r>
          </w:p>
        </w:tc>
        <w:tc>
          <w:tcPr>
            <w:tcW w:w="1420"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2018ZDZX04</w:t>
            </w:r>
          </w:p>
        </w:tc>
        <w:tc>
          <w:tcPr>
            <w:tcW w:w="4381" w:type="dxa"/>
            <w:tcBorders>
              <w:top w:val="single" w:color="000000" w:sz="4" w:space="0"/>
              <w:left w:val="nil"/>
              <w:bottom w:val="single" w:color="000000" w:sz="4" w:space="0"/>
              <w:right w:val="single" w:color="000000" w:sz="4" w:space="0"/>
            </w:tcBorders>
            <w:noWrap w:val="0"/>
            <w:vAlign w:val="center"/>
          </w:tcPr>
          <w:p>
            <w:pPr>
              <w:spacing w:after="0" w:line="320" w:lineRule="exact"/>
              <w:jc w:val="both"/>
              <w:rPr>
                <w:rFonts w:ascii="仿宋_GB2312" w:hAnsi="宋体" w:eastAsia="仿宋_GB2312"/>
                <w:color w:val="000000"/>
                <w:sz w:val="24"/>
                <w:szCs w:val="24"/>
              </w:rPr>
            </w:pPr>
            <w:r>
              <w:rPr>
                <w:rFonts w:hint="eastAsia" w:ascii="仿宋_GB2312" w:hAnsi="宋体" w:eastAsia="仿宋_GB2312"/>
                <w:color w:val="000000"/>
                <w:sz w:val="24"/>
                <w:szCs w:val="24"/>
              </w:rPr>
              <w:t>硫酸庆大霉素注射液一致性评价及产业化</w:t>
            </w:r>
          </w:p>
        </w:tc>
        <w:tc>
          <w:tcPr>
            <w:tcW w:w="2151"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2018.01-2020.10</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农村科</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2021延期</w:t>
            </w:r>
          </w:p>
        </w:tc>
      </w:tr>
      <w:tr>
        <w:tblPrEx>
          <w:tblCellMar>
            <w:top w:w="15" w:type="dxa"/>
            <w:left w:w="15" w:type="dxa"/>
            <w:bottom w:w="15" w:type="dxa"/>
            <w:right w:w="15" w:type="dxa"/>
          </w:tblCellMar>
        </w:tblPrEx>
        <w:trPr>
          <w:trHeight w:val="822"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宋体" w:hAnsi="宋体" w:eastAsia="宋体"/>
                <w:color w:val="000000"/>
              </w:rPr>
              <w:t>5</w:t>
            </w:r>
          </w:p>
        </w:tc>
        <w:tc>
          <w:tcPr>
            <w:tcW w:w="3657"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遂成药业股份有限公司</w:t>
            </w:r>
          </w:p>
        </w:tc>
        <w:tc>
          <w:tcPr>
            <w:tcW w:w="1420"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2018ZDZX05</w:t>
            </w:r>
          </w:p>
        </w:tc>
        <w:tc>
          <w:tcPr>
            <w:tcW w:w="4381" w:type="dxa"/>
            <w:tcBorders>
              <w:top w:val="single" w:color="000000" w:sz="4" w:space="0"/>
              <w:left w:val="nil"/>
              <w:bottom w:val="single" w:color="000000" w:sz="4" w:space="0"/>
              <w:right w:val="single" w:color="000000" w:sz="4" w:space="0"/>
            </w:tcBorders>
            <w:noWrap w:val="0"/>
            <w:vAlign w:val="center"/>
          </w:tcPr>
          <w:p>
            <w:pPr>
              <w:spacing w:after="0" w:line="320" w:lineRule="exact"/>
              <w:jc w:val="both"/>
              <w:rPr>
                <w:rFonts w:ascii="仿宋_GB2312" w:hAnsi="宋体" w:eastAsia="仿宋_GB2312"/>
                <w:color w:val="000000"/>
                <w:sz w:val="24"/>
                <w:szCs w:val="24"/>
              </w:rPr>
            </w:pPr>
            <w:r>
              <w:rPr>
                <w:rFonts w:hint="eastAsia" w:ascii="仿宋_GB2312" w:hAnsi="宋体" w:eastAsia="仿宋_GB2312"/>
                <w:color w:val="000000"/>
                <w:sz w:val="24"/>
                <w:szCs w:val="24"/>
              </w:rPr>
              <w:t>阿奇霉素分散片药物一致性评价研究开发及产业化</w:t>
            </w:r>
          </w:p>
        </w:tc>
        <w:tc>
          <w:tcPr>
            <w:tcW w:w="2151"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2018.9-2020.9</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农村科</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2021延期</w:t>
            </w:r>
          </w:p>
        </w:tc>
      </w:tr>
      <w:tr>
        <w:tblPrEx>
          <w:tblCellMar>
            <w:top w:w="15" w:type="dxa"/>
            <w:left w:w="15" w:type="dxa"/>
            <w:bottom w:w="15" w:type="dxa"/>
            <w:right w:w="15" w:type="dxa"/>
          </w:tblCellMar>
        </w:tblPrEx>
        <w:trPr>
          <w:trHeight w:val="822"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宋体" w:hAnsi="宋体" w:eastAsia="宋体"/>
                <w:color w:val="000000"/>
              </w:rPr>
              <w:t>6</w:t>
            </w:r>
          </w:p>
        </w:tc>
        <w:tc>
          <w:tcPr>
            <w:tcW w:w="3657"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新郑市香祖油脂有限公司</w:t>
            </w:r>
          </w:p>
        </w:tc>
        <w:tc>
          <w:tcPr>
            <w:tcW w:w="1420"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2019KJGG02</w:t>
            </w:r>
          </w:p>
        </w:tc>
        <w:tc>
          <w:tcPr>
            <w:tcW w:w="4381" w:type="dxa"/>
            <w:tcBorders>
              <w:top w:val="single" w:color="000000" w:sz="4" w:space="0"/>
              <w:left w:val="nil"/>
              <w:bottom w:val="single" w:color="000000" w:sz="4" w:space="0"/>
              <w:right w:val="single" w:color="000000" w:sz="4" w:space="0"/>
            </w:tcBorders>
            <w:noWrap w:val="0"/>
            <w:vAlign w:val="center"/>
          </w:tcPr>
          <w:p>
            <w:pPr>
              <w:spacing w:after="0" w:line="320" w:lineRule="exact"/>
              <w:jc w:val="both"/>
              <w:rPr>
                <w:rFonts w:ascii="仿宋_GB2312" w:hAnsi="宋体" w:eastAsia="仿宋_GB2312"/>
                <w:color w:val="000000"/>
                <w:sz w:val="24"/>
                <w:szCs w:val="24"/>
              </w:rPr>
            </w:pPr>
            <w:r>
              <w:rPr>
                <w:rFonts w:hint="eastAsia" w:ascii="仿宋_GB2312" w:hAnsi="宋体" w:eastAsia="仿宋_GB2312"/>
                <w:color w:val="000000"/>
                <w:sz w:val="24"/>
                <w:szCs w:val="24"/>
              </w:rPr>
              <w:t>葵花籽油的水酶法提取工艺技术研究及产业化开发应用</w:t>
            </w:r>
          </w:p>
        </w:tc>
        <w:tc>
          <w:tcPr>
            <w:tcW w:w="2151"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2019.10-2021.9</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农村科</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p>
        </w:tc>
      </w:tr>
      <w:tr>
        <w:tblPrEx>
          <w:tblCellMar>
            <w:top w:w="15" w:type="dxa"/>
            <w:left w:w="15" w:type="dxa"/>
            <w:bottom w:w="15" w:type="dxa"/>
            <w:right w:w="15" w:type="dxa"/>
          </w:tblCellMar>
        </w:tblPrEx>
        <w:trPr>
          <w:trHeight w:val="822"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宋体" w:hAnsi="宋体" w:eastAsia="宋体"/>
                <w:color w:val="000000"/>
              </w:rPr>
              <w:t>7</w:t>
            </w:r>
          </w:p>
        </w:tc>
        <w:tc>
          <w:tcPr>
            <w:tcW w:w="3657"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河南润丰粮油有限公司</w:t>
            </w:r>
          </w:p>
        </w:tc>
        <w:tc>
          <w:tcPr>
            <w:tcW w:w="1420"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2019KJGG03</w:t>
            </w:r>
          </w:p>
        </w:tc>
        <w:tc>
          <w:tcPr>
            <w:tcW w:w="4381" w:type="dxa"/>
            <w:tcBorders>
              <w:top w:val="single" w:color="000000" w:sz="4" w:space="0"/>
              <w:left w:val="nil"/>
              <w:bottom w:val="single" w:color="000000" w:sz="4" w:space="0"/>
              <w:right w:val="single" w:color="000000" w:sz="4" w:space="0"/>
            </w:tcBorders>
            <w:noWrap w:val="0"/>
            <w:vAlign w:val="center"/>
          </w:tcPr>
          <w:p>
            <w:pPr>
              <w:spacing w:after="0" w:line="320" w:lineRule="exact"/>
              <w:jc w:val="both"/>
              <w:rPr>
                <w:rFonts w:ascii="仿宋_GB2312" w:hAnsi="宋体" w:eastAsia="仿宋_GB2312"/>
                <w:color w:val="000000"/>
                <w:sz w:val="24"/>
                <w:szCs w:val="24"/>
              </w:rPr>
            </w:pPr>
            <w:r>
              <w:rPr>
                <w:rFonts w:hint="eastAsia" w:ascii="仿宋_GB2312" w:hAnsi="宋体" w:eastAsia="仿宋_GB2312"/>
                <w:color w:val="000000"/>
                <w:sz w:val="24"/>
                <w:szCs w:val="24"/>
              </w:rPr>
              <w:t>花生粕的挤压组织化工艺技术研究及花生蛋白素肉的开发</w:t>
            </w:r>
          </w:p>
        </w:tc>
        <w:tc>
          <w:tcPr>
            <w:tcW w:w="2151"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2019.10-2021.9</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农村科</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p>
        </w:tc>
      </w:tr>
      <w:tr>
        <w:tblPrEx>
          <w:tblCellMar>
            <w:top w:w="15" w:type="dxa"/>
            <w:left w:w="15" w:type="dxa"/>
            <w:bottom w:w="15" w:type="dxa"/>
            <w:right w:w="15" w:type="dxa"/>
          </w:tblCellMar>
        </w:tblPrEx>
        <w:trPr>
          <w:trHeight w:val="822"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宋体" w:hAnsi="宋体" w:eastAsia="宋体"/>
                <w:color w:val="000000"/>
              </w:rPr>
              <w:t>8</w:t>
            </w:r>
          </w:p>
        </w:tc>
        <w:tc>
          <w:tcPr>
            <w:tcW w:w="3657"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河南国德标检测技术有限公司</w:t>
            </w:r>
          </w:p>
        </w:tc>
        <w:tc>
          <w:tcPr>
            <w:tcW w:w="1420"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2019KJGG04</w:t>
            </w:r>
          </w:p>
        </w:tc>
        <w:tc>
          <w:tcPr>
            <w:tcW w:w="4381" w:type="dxa"/>
            <w:tcBorders>
              <w:top w:val="single" w:color="000000" w:sz="4" w:space="0"/>
              <w:left w:val="nil"/>
              <w:bottom w:val="single" w:color="000000" w:sz="4" w:space="0"/>
              <w:right w:val="single" w:color="000000" w:sz="4" w:space="0"/>
            </w:tcBorders>
            <w:noWrap w:val="0"/>
            <w:vAlign w:val="center"/>
          </w:tcPr>
          <w:p>
            <w:pPr>
              <w:spacing w:after="0" w:line="320" w:lineRule="exact"/>
              <w:jc w:val="both"/>
              <w:rPr>
                <w:rFonts w:ascii="仿宋_GB2312" w:hAnsi="宋体" w:eastAsia="仿宋_GB2312"/>
                <w:color w:val="000000"/>
                <w:sz w:val="24"/>
                <w:szCs w:val="24"/>
              </w:rPr>
            </w:pPr>
            <w:r>
              <w:rPr>
                <w:rFonts w:hint="eastAsia" w:ascii="仿宋_GB2312" w:hAnsi="宋体" w:eastAsia="仿宋_GB2312"/>
                <w:color w:val="000000"/>
                <w:sz w:val="24"/>
                <w:szCs w:val="24"/>
              </w:rPr>
              <w:t>快速检测黄曲霉毒素B1的酶生物传感器研制及应用</w:t>
            </w:r>
          </w:p>
        </w:tc>
        <w:tc>
          <w:tcPr>
            <w:tcW w:w="2151"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2019.10-2021.9</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高新科</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p>
        </w:tc>
      </w:tr>
      <w:tr>
        <w:tblPrEx>
          <w:tblCellMar>
            <w:top w:w="15" w:type="dxa"/>
            <w:left w:w="15" w:type="dxa"/>
            <w:bottom w:w="15" w:type="dxa"/>
            <w:right w:w="15" w:type="dxa"/>
          </w:tblCellMar>
        </w:tblPrEx>
        <w:trPr>
          <w:trHeight w:val="794"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宋体" w:hAnsi="宋体" w:eastAsia="宋体"/>
                <w:color w:val="000000"/>
              </w:rPr>
              <w:t>9</w:t>
            </w:r>
          </w:p>
        </w:tc>
        <w:tc>
          <w:tcPr>
            <w:tcW w:w="3657"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郑州运达造纸设备有限公司</w:t>
            </w:r>
          </w:p>
        </w:tc>
        <w:tc>
          <w:tcPr>
            <w:tcW w:w="1420"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2019KJGG06</w:t>
            </w:r>
          </w:p>
        </w:tc>
        <w:tc>
          <w:tcPr>
            <w:tcW w:w="4381" w:type="dxa"/>
            <w:tcBorders>
              <w:top w:val="single" w:color="000000" w:sz="4" w:space="0"/>
              <w:left w:val="nil"/>
              <w:bottom w:val="single" w:color="000000" w:sz="4" w:space="0"/>
              <w:right w:val="single" w:color="000000" w:sz="4" w:space="0"/>
            </w:tcBorders>
            <w:noWrap w:val="0"/>
            <w:vAlign w:val="center"/>
          </w:tcPr>
          <w:p>
            <w:pPr>
              <w:spacing w:after="0" w:line="320" w:lineRule="exact"/>
              <w:jc w:val="both"/>
              <w:rPr>
                <w:rFonts w:ascii="仿宋_GB2312" w:hAnsi="宋体" w:eastAsia="仿宋_GB2312"/>
                <w:color w:val="000000"/>
                <w:sz w:val="24"/>
                <w:szCs w:val="24"/>
              </w:rPr>
            </w:pPr>
            <w:r>
              <w:rPr>
                <w:rFonts w:hint="eastAsia" w:ascii="仿宋_GB2312" w:hAnsi="宋体" w:eastAsia="仿宋_GB2312"/>
                <w:color w:val="000000"/>
                <w:sz w:val="24"/>
                <w:szCs w:val="24"/>
              </w:rPr>
              <w:t>高效的组合压力筛转子的研究与应用</w:t>
            </w:r>
          </w:p>
        </w:tc>
        <w:tc>
          <w:tcPr>
            <w:tcW w:w="2151"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2019.10-2021.8</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高新科</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p>
        </w:tc>
      </w:tr>
      <w:tr>
        <w:tblPrEx>
          <w:tblCellMar>
            <w:top w:w="15" w:type="dxa"/>
            <w:left w:w="15" w:type="dxa"/>
            <w:bottom w:w="15" w:type="dxa"/>
            <w:right w:w="15" w:type="dxa"/>
          </w:tblCellMar>
        </w:tblPrEx>
        <w:trPr>
          <w:trHeight w:val="794"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宋体" w:hAnsi="宋体" w:eastAsia="宋体"/>
                <w:color w:val="000000"/>
              </w:rPr>
              <w:t>10</w:t>
            </w:r>
          </w:p>
        </w:tc>
        <w:tc>
          <w:tcPr>
            <w:tcW w:w="3657"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河南航天液压气动技术有限公司</w:t>
            </w:r>
          </w:p>
        </w:tc>
        <w:tc>
          <w:tcPr>
            <w:tcW w:w="1420" w:type="dxa"/>
            <w:tcBorders>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2019KJGG07</w:t>
            </w:r>
          </w:p>
        </w:tc>
        <w:tc>
          <w:tcPr>
            <w:tcW w:w="4381" w:type="dxa"/>
            <w:tcBorders>
              <w:left w:val="nil"/>
              <w:bottom w:val="single" w:color="000000" w:sz="4" w:space="0"/>
              <w:right w:val="single" w:color="000000" w:sz="4" w:space="0"/>
            </w:tcBorders>
            <w:noWrap w:val="0"/>
            <w:vAlign w:val="center"/>
          </w:tcPr>
          <w:p>
            <w:pPr>
              <w:spacing w:after="0" w:line="320" w:lineRule="exact"/>
              <w:jc w:val="both"/>
              <w:rPr>
                <w:rFonts w:ascii="仿宋_GB2312" w:hAnsi="宋体" w:eastAsia="仿宋_GB2312"/>
                <w:color w:val="000000"/>
                <w:sz w:val="24"/>
                <w:szCs w:val="24"/>
              </w:rPr>
            </w:pPr>
            <w:r>
              <w:rPr>
                <w:rFonts w:hint="eastAsia" w:ascii="仿宋_GB2312" w:hAnsi="宋体" w:eastAsia="仿宋_GB2312"/>
                <w:color w:val="000000"/>
                <w:sz w:val="24"/>
                <w:szCs w:val="24"/>
              </w:rPr>
              <w:t>航天用高温双位磁性自锁阀关键技术研究</w:t>
            </w:r>
          </w:p>
        </w:tc>
        <w:tc>
          <w:tcPr>
            <w:tcW w:w="2151" w:type="dxa"/>
            <w:tcBorders>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2019.10-2021.9</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高新科</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p>
        </w:tc>
      </w:tr>
      <w:tr>
        <w:tblPrEx>
          <w:tblCellMar>
            <w:top w:w="15" w:type="dxa"/>
            <w:left w:w="15" w:type="dxa"/>
            <w:bottom w:w="15" w:type="dxa"/>
            <w:right w:w="15" w:type="dxa"/>
          </w:tblCellMar>
        </w:tblPrEx>
        <w:trPr>
          <w:trHeight w:val="794"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宋体" w:hAnsi="宋体" w:eastAsia="宋体"/>
                <w:color w:val="000000"/>
              </w:rPr>
              <w:t>11</w:t>
            </w:r>
          </w:p>
        </w:tc>
        <w:tc>
          <w:tcPr>
            <w:tcW w:w="3657"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河南庆安化工高科技股份有限公司</w:t>
            </w:r>
          </w:p>
        </w:tc>
        <w:tc>
          <w:tcPr>
            <w:tcW w:w="1420"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2019KJGG13</w:t>
            </w:r>
          </w:p>
        </w:tc>
        <w:tc>
          <w:tcPr>
            <w:tcW w:w="4381" w:type="dxa"/>
            <w:tcBorders>
              <w:top w:val="single" w:color="000000" w:sz="4" w:space="0"/>
              <w:left w:val="nil"/>
              <w:bottom w:val="single" w:color="000000" w:sz="4" w:space="0"/>
              <w:right w:val="single" w:color="000000" w:sz="4" w:space="0"/>
            </w:tcBorders>
            <w:noWrap w:val="0"/>
            <w:vAlign w:val="center"/>
          </w:tcPr>
          <w:p>
            <w:pPr>
              <w:spacing w:after="0" w:line="320" w:lineRule="exact"/>
              <w:jc w:val="both"/>
              <w:rPr>
                <w:rFonts w:ascii="仿宋_GB2312" w:hAnsi="宋体" w:eastAsia="仿宋_GB2312"/>
                <w:color w:val="000000"/>
                <w:sz w:val="24"/>
                <w:szCs w:val="24"/>
              </w:rPr>
            </w:pPr>
            <w:r>
              <w:rPr>
                <w:rFonts w:hint="eastAsia" w:ascii="仿宋_GB2312" w:hAnsi="宋体" w:eastAsia="仿宋_GB2312"/>
                <w:color w:val="000000"/>
                <w:sz w:val="24"/>
                <w:szCs w:val="24"/>
              </w:rPr>
              <w:t>新型固体催化剂催化合成邻苯类增塑剂关键技术研究与应用</w:t>
            </w:r>
          </w:p>
        </w:tc>
        <w:tc>
          <w:tcPr>
            <w:tcW w:w="2151"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2019.8-2021.8</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高新科</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p>
        </w:tc>
      </w:tr>
      <w:tr>
        <w:tblPrEx>
          <w:tblCellMar>
            <w:top w:w="15" w:type="dxa"/>
            <w:left w:w="15" w:type="dxa"/>
            <w:bottom w:w="15" w:type="dxa"/>
            <w:right w:w="15" w:type="dxa"/>
          </w:tblCellMar>
        </w:tblPrEx>
        <w:trPr>
          <w:trHeight w:val="794"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宋体" w:hAnsi="宋体" w:eastAsia="宋体"/>
                <w:color w:val="000000"/>
              </w:rPr>
              <w:t>12</w:t>
            </w:r>
          </w:p>
        </w:tc>
        <w:tc>
          <w:tcPr>
            <w:tcW w:w="3657"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河南永泽环境科技有限公司</w:t>
            </w:r>
          </w:p>
        </w:tc>
        <w:tc>
          <w:tcPr>
            <w:tcW w:w="1420"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2019KJGG14</w:t>
            </w:r>
          </w:p>
        </w:tc>
        <w:tc>
          <w:tcPr>
            <w:tcW w:w="4381" w:type="dxa"/>
            <w:tcBorders>
              <w:top w:val="single" w:color="000000" w:sz="4" w:space="0"/>
              <w:left w:val="nil"/>
              <w:bottom w:val="single" w:color="000000" w:sz="4" w:space="0"/>
              <w:right w:val="single" w:color="000000" w:sz="4" w:space="0"/>
            </w:tcBorders>
            <w:noWrap w:val="0"/>
            <w:vAlign w:val="center"/>
          </w:tcPr>
          <w:p>
            <w:pPr>
              <w:spacing w:after="0" w:line="320" w:lineRule="exact"/>
              <w:jc w:val="both"/>
              <w:rPr>
                <w:rFonts w:ascii="仿宋_GB2312" w:hAnsi="宋体" w:eastAsia="仿宋_GB2312"/>
                <w:color w:val="000000"/>
                <w:sz w:val="24"/>
                <w:szCs w:val="24"/>
              </w:rPr>
            </w:pPr>
            <w:r>
              <w:rPr>
                <w:rFonts w:hint="eastAsia" w:ascii="仿宋_GB2312" w:hAnsi="宋体" w:eastAsia="仿宋_GB2312"/>
                <w:color w:val="000000"/>
                <w:sz w:val="24"/>
                <w:szCs w:val="24"/>
              </w:rPr>
              <w:t>稀土强化生物膜电极耦合人工湿地脱氮试验研究</w:t>
            </w:r>
          </w:p>
        </w:tc>
        <w:tc>
          <w:tcPr>
            <w:tcW w:w="2151"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2019.10-2021.9</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农村科</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p>
        </w:tc>
      </w:tr>
      <w:tr>
        <w:tblPrEx>
          <w:tblCellMar>
            <w:top w:w="15" w:type="dxa"/>
            <w:left w:w="15" w:type="dxa"/>
            <w:bottom w:w="15" w:type="dxa"/>
            <w:right w:w="15" w:type="dxa"/>
          </w:tblCellMar>
        </w:tblPrEx>
        <w:trPr>
          <w:trHeight w:val="794"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宋体" w:hAnsi="宋体" w:eastAsia="宋体"/>
                <w:color w:val="000000"/>
              </w:rPr>
              <w:t>13</w:t>
            </w:r>
          </w:p>
        </w:tc>
        <w:tc>
          <w:tcPr>
            <w:tcW w:w="3657"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白象食品股份有限公司</w:t>
            </w:r>
          </w:p>
        </w:tc>
        <w:tc>
          <w:tcPr>
            <w:tcW w:w="1420"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2019ZDZX01</w:t>
            </w:r>
          </w:p>
        </w:tc>
        <w:tc>
          <w:tcPr>
            <w:tcW w:w="4381" w:type="dxa"/>
            <w:tcBorders>
              <w:top w:val="single" w:color="000000" w:sz="4" w:space="0"/>
              <w:left w:val="nil"/>
              <w:bottom w:val="single" w:color="000000" w:sz="4" w:space="0"/>
              <w:right w:val="single" w:color="000000" w:sz="4" w:space="0"/>
            </w:tcBorders>
            <w:noWrap w:val="0"/>
            <w:vAlign w:val="center"/>
          </w:tcPr>
          <w:p>
            <w:pPr>
              <w:spacing w:after="0" w:line="320" w:lineRule="exact"/>
              <w:jc w:val="both"/>
              <w:rPr>
                <w:rFonts w:ascii="仿宋_GB2312" w:hAnsi="宋体" w:eastAsia="仿宋_GB2312"/>
                <w:color w:val="000000"/>
                <w:sz w:val="24"/>
                <w:szCs w:val="24"/>
              </w:rPr>
            </w:pPr>
            <w:r>
              <w:rPr>
                <w:rFonts w:hint="eastAsia" w:ascii="仿宋_GB2312" w:hAnsi="宋体" w:eastAsia="仿宋_GB2312"/>
                <w:color w:val="000000"/>
                <w:sz w:val="24"/>
                <w:szCs w:val="24"/>
              </w:rPr>
              <w:t>冻干技术方便鲜泡（煮）面关键技术研究开发及产业化</w:t>
            </w:r>
          </w:p>
        </w:tc>
        <w:tc>
          <w:tcPr>
            <w:tcW w:w="2151"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2019.11-2021.10</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农村科</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p>
        </w:tc>
      </w:tr>
      <w:tr>
        <w:tblPrEx>
          <w:tblCellMar>
            <w:top w:w="15" w:type="dxa"/>
            <w:left w:w="15" w:type="dxa"/>
            <w:bottom w:w="15" w:type="dxa"/>
            <w:right w:w="15" w:type="dxa"/>
          </w:tblCellMar>
        </w:tblPrEx>
        <w:trPr>
          <w:trHeight w:val="794"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宋体" w:hAnsi="宋体" w:eastAsia="宋体"/>
                <w:color w:val="000000"/>
              </w:rPr>
              <w:t>14</w:t>
            </w:r>
          </w:p>
        </w:tc>
        <w:tc>
          <w:tcPr>
            <w:tcW w:w="3657"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河南润弘制药股份有限公司</w:t>
            </w:r>
          </w:p>
        </w:tc>
        <w:tc>
          <w:tcPr>
            <w:tcW w:w="1420"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2019ZDZX03</w:t>
            </w:r>
          </w:p>
        </w:tc>
        <w:tc>
          <w:tcPr>
            <w:tcW w:w="4381" w:type="dxa"/>
            <w:tcBorders>
              <w:top w:val="single" w:color="000000" w:sz="4" w:space="0"/>
              <w:left w:val="nil"/>
              <w:bottom w:val="single" w:color="000000" w:sz="4" w:space="0"/>
              <w:right w:val="single" w:color="000000" w:sz="4" w:space="0"/>
            </w:tcBorders>
            <w:noWrap w:val="0"/>
            <w:vAlign w:val="center"/>
          </w:tcPr>
          <w:p>
            <w:pPr>
              <w:spacing w:after="0" w:line="320" w:lineRule="exact"/>
              <w:jc w:val="both"/>
              <w:rPr>
                <w:rFonts w:ascii="仿宋_GB2312" w:hAnsi="宋体" w:eastAsia="仿宋_GB2312"/>
                <w:color w:val="000000"/>
                <w:sz w:val="24"/>
                <w:szCs w:val="24"/>
              </w:rPr>
            </w:pPr>
            <w:r>
              <w:rPr>
                <w:rFonts w:hint="eastAsia" w:ascii="仿宋_GB2312" w:hAnsi="宋体" w:eastAsia="仿宋_GB2312"/>
                <w:color w:val="000000"/>
                <w:sz w:val="24"/>
                <w:szCs w:val="24"/>
              </w:rPr>
              <w:t>注射用伏立康唑的研究与开发</w:t>
            </w:r>
          </w:p>
        </w:tc>
        <w:tc>
          <w:tcPr>
            <w:tcW w:w="2151"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2018.6-2021.5</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农村科</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2021延期</w:t>
            </w:r>
          </w:p>
        </w:tc>
      </w:tr>
      <w:tr>
        <w:tblPrEx>
          <w:tblCellMar>
            <w:top w:w="15" w:type="dxa"/>
            <w:left w:w="15" w:type="dxa"/>
            <w:bottom w:w="15" w:type="dxa"/>
            <w:right w:w="15" w:type="dxa"/>
          </w:tblCellMar>
        </w:tblPrEx>
        <w:trPr>
          <w:trHeight w:val="794"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宋体" w:hAnsi="宋体" w:eastAsia="宋体"/>
                <w:color w:val="000000"/>
              </w:rPr>
              <w:t>15</w:t>
            </w:r>
          </w:p>
        </w:tc>
        <w:tc>
          <w:tcPr>
            <w:tcW w:w="3657"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遂成药业股份有限公司</w:t>
            </w:r>
          </w:p>
        </w:tc>
        <w:tc>
          <w:tcPr>
            <w:tcW w:w="1420"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2019ZDZX04</w:t>
            </w:r>
          </w:p>
        </w:tc>
        <w:tc>
          <w:tcPr>
            <w:tcW w:w="4381" w:type="dxa"/>
            <w:tcBorders>
              <w:top w:val="single" w:color="000000" w:sz="4" w:space="0"/>
              <w:left w:val="nil"/>
              <w:bottom w:val="single" w:color="000000" w:sz="4" w:space="0"/>
              <w:right w:val="single" w:color="000000" w:sz="4" w:space="0"/>
            </w:tcBorders>
            <w:noWrap w:val="0"/>
            <w:vAlign w:val="center"/>
          </w:tcPr>
          <w:p>
            <w:pPr>
              <w:spacing w:after="0" w:line="320" w:lineRule="exact"/>
              <w:jc w:val="both"/>
              <w:rPr>
                <w:rFonts w:ascii="仿宋_GB2312" w:hAnsi="宋体" w:eastAsia="仿宋_GB2312"/>
                <w:color w:val="000000"/>
                <w:sz w:val="24"/>
                <w:szCs w:val="24"/>
              </w:rPr>
            </w:pPr>
            <w:r>
              <w:rPr>
                <w:rFonts w:hint="eastAsia" w:ascii="仿宋_GB2312" w:hAnsi="宋体" w:eastAsia="仿宋_GB2312"/>
                <w:color w:val="000000"/>
                <w:sz w:val="24"/>
                <w:szCs w:val="24"/>
              </w:rPr>
              <w:t>盐酸右美托咪定原料及注射液</w:t>
            </w:r>
            <w:r>
              <w:rPr>
                <w:rFonts w:hint="eastAsia" w:ascii="仿宋_GB2312" w:hAnsi="宋体" w:eastAsia="仿宋_GB2312"/>
                <w:color w:val="000000"/>
                <w:sz w:val="24"/>
                <w:szCs w:val="24"/>
              </w:rPr>
              <w:br w:type="textWrapping"/>
            </w:r>
            <w:r>
              <w:rPr>
                <w:rFonts w:hint="eastAsia" w:ascii="仿宋_GB2312" w:hAnsi="宋体" w:eastAsia="仿宋_GB2312"/>
                <w:color w:val="000000"/>
                <w:sz w:val="24"/>
                <w:szCs w:val="24"/>
              </w:rPr>
              <w:t>（1mL：0.1mg、2mL：0.2mg）关键技术研究</w:t>
            </w:r>
          </w:p>
        </w:tc>
        <w:tc>
          <w:tcPr>
            <w:tcW w:w="2151"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2019.10-2021.10</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农村科</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p>
        </w:tc>
      </w:tr>
      <w:tr>
        <w:tblPrEx>
          <w:tblCellMar>
            <w:top w:w="15" w:type="dxa"/>
            <w:left w:w="15" w:type="dxa"/>
            <w:bottom w:w="15" w:type="dxa"/>
            <w:right w:w="15" w:type="dxa"/>
          </w:tblCellMar>
        </w:tblPrEx>
        <w:trPr>
          <w:trHeight w:val="794"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宋体" w:hAnsi="宋体" w:eastAsia="宋体"/>
                <w:color w:val="000000"/>
              </w:rPr>
              <w:t>16</w:t>
            </w:r>
          </w:p>
        </w:tc>
        <w:tc>
          <w:tcPr>
            <w:tcW w:w="3657"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郑州恒天铜业有限公司</w:t>
            </w:r>
          </w:p>
        </w:tc>
        <w:tc>
          <w:tcPr>
            <w:tcW w:w="1420"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2018CXY01</w:t>
            </w:r>
          </w:p>
        </w:tc>
        <w:tc>
          <w:tcPr>
            <w:tcW w:w="4381" w:type="dxa"/>
            <w:tcBorders>
              <w:top w:val="single" w:color="000000" w:sz="4" w:space="0"/>
              <w:left w:val="nil"/>
              <w:bottom w:val="single" w:color="000000" w:sz="4" w:space="0"/>
              <w:right w:val="single" w:color="000000" w:sz="4" w:space="0"/>
            </w:tcBorders>
            <w:noWrap w:val="0"/>
            <w:vAlign w:val="center"/>
          </w:tcPr>
          <w:p>
            <w:pPr>
              <w:spacing w:after="0" w:line="320" w:lineRule="exact"/>
              <w:jc w:val="both"/>
              <w:rPr>
                <w:rFonts w:ascii="仿宋_GB2312" w:hAnsi="宋体" w:eastAsia="仿宋_GB2312"/>
                <w:color w:val="000000"/>
                <w:sz w:val="24"/>
                <w:szCs w:val="24"/>
              </w:rPr>
            </w:pPr>
            <w:r>
              <w:rPr>
                <w:rFonts w:hint="eastAsia" w:ascii="仿宋_GB2312" w:hAnsi="宋体" w:eastAsia="仿宋_GB2312"/>
                <w:color w:val="000000"/>
                <w:sz w:val="24"/>
                <w:szCs w:val="24"/>
              </w:rPr>
              <w:t>新能源汽车用车内高压电缆的研究与产业化</w:t>
            </w:r>
          </w:p>
        </w:tc>
        <w:tc>
          <w:tcPr>
            <w:tcW w:w="2151"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2018.9-2020.6</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院校科</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2021整改</w:t>
            </w:r>
          </w:p>
        </w:tc>
      </w:tr>
      <w:tr>
        <w:tblPrEx>
          <w:tblCellMar>
            <w:top w:w="15" w:type="dxa"/>
            <w:left w:w="15" w:type="dxa"/>
            <w:bottom w:w="15" w:type="dxa"/>
            <w:right w:w="15" w:type="dxa"/>
          </w:tblCellMar>
        </w:tblPrEx>
        <w:trPr>
          <w:trHeight w:val="794"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ascii="宋体" w:hAnsi="宋体" w:eastAsia="宋体"/>
                <w:color w:val="000000"/>
              </w:rPr>
            </w:pPr>
            <w:r>
              <w:rPr>
                <w:rFonts w:hint="eastAsia" w:ascii="宋体" w:hAnsi="宋体" w:eastAsia="宋体"/>
                <w:color w:val="000000"/>
              </w:rPr>
              <w:t>17</w:t>
            </w:r>
          </w:p>
        </w:tc>
        <w:tc>
          <w:tcPr>
            <w:tcW w:w="3657"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河南润丰粮油有限公司</w:t>
            </w:r>
          </w:p>
        </w:tc>
        <w:tc>
          <w:tcPr>
            <w:tcW w:w="1420"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2018CXY04</w:t>
            </w:r>
          </w:p>
        </w:tc>
        <w:tc>
          <w:tcPr>
            <w:tcW w:w="4381" w:type="dxa"/>
            <w:tcBorders>
              <w:top w:val="single" w:color="000000" w:sz="4" w:space="0"/>
              <w:left w:val="nil"/>
              <w:bottom w:val="single" w:color="000000" w:sz="4" w:space="0"/>
              <w:right w:val="single" w:color="000000" w:sz="4" w:space="0"/>
            </w:tcBorders>
            <w:noWrap w:val="0"/>
            <w:vAlign w:val="center"/>
          </w:tcPr>
          <w:p>
            <w:pPr>
              <w:spacing w:after="0" w:line="320" w:lineRule="exact"/>
              <w:jc w:val="both"/>
              <w:rPr>
                <w:rFonts w:ascii="仿宋_GB2312" w:hAnsi="宋体" w:eastAsia="仿宋_GB2312"/>
                <w:color w:val="000000"/>
                <w:sz w:val="24"/>
                <w:szCs w:val="24"/>
              </w:rPr>
            </w:pPr>
            <w:r>
              <w:rPr>
                <w:rFonts w:hint="eastAsia" w:ascii="仿宋_GB2312" w:hAnsi="宋体" w:eastAsia="仿宋_GB2312"/>
                <w:color w:val="000000"/>
                <w:sz w:val="24"/>
                <w:szCs w:val="24"/>
              </w:rPr>
              <w:t>脱酚棉籽蛋白的开发及在仔猪日粮中的添加应用技术研究</w:t>
            </w:r>
          </w:p>
        </w:tc>
        <w:tc>
          <w:tcPr>
            <w:tcW w:w="2151"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2018.12-2020.12</w:t>
            </w:r>
          </w:p>
        </w:tc>
        <w:tc>
          <w:tcPr>
            <w:tcW w:w="1119"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院校科</w:t>
            </w:r>
          </w:p>
        </w:tc>
        <w:tc>
          <w:tcPr>
            <w:tcW w:w="1532" w:type="dxa"/>
            <w:tcBorders>
              <w:top w:val="single" w:color="000000" w:sz="4" w:space="0"/>
              <w:left w:val="nil"/>
              <w:bottom w:val="single" w:color="000000" w:sz="4" w:space="0"/>
              <w:right w:val="single" w:color="000000" w:sz="4" w:space="0"/>
            </w:tcBorders>
            <w:noWrap w:val="0"/>
            <w:vAlign w:val="center"/>
          </w:tcPr>
          <w:p>
            <w:pPr>
              <w:spacing w:after="0"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2021整改</w:t>
            </w:r>
          </w:p>
        </w:tc>
      </w:tr>
    </w:tbl>
    <w:p>
      <w:pPr>
        <w:spacing w:after="0" w:line="20" w:lineRule="exact"/>
        <w:rPr>
          <w:rFonts w:hint="eastAsia"/>
        </w:rPr>
      </w:pPr>
      <w:r>
        <w:t xml:space="preserve"> </w:t>
      </w:r>
    </w:p>
    <w:p>
      <w:bookmarkStart w:id="0" w:name="_GoBack"/>
      <w:bookmarkEnd w:id="0"/>
    </w:p>
    <w:sectPr>
      <w:footerReference r:id="rId6" w:type="first"/>
      <w:headerReference r:id="rId3" w:type="default"/>
      <w:footerReference r:id="rId4" w:type="default"/>
      <w:footerReference r:id="rId5" w:type="even"/>
      <w:pgSz w:w="16838" w:h="11906" w:orient="landscape"/>
      <w:pgMar w:top="1701" w:right="1418" w:bottom="1418" w:left="1418" w:header="720" w:footer="1304"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spacing w:after="0" w:line="240" w:lineRule="exact"/>
      <w:rPr>
        <w:rStyle w:val="6"/>
        <w:rFonts w:ascii="宋体" w:hAnsi="宋体" w:eastAsia="宋体"/>
        <w:sz w:val="24"/>
        <w:szCs w:val="24"/>
      </w:rPr>
    </w:pPr>
    <w:r>
      <w:rPr>
        <w:rFonts w:ascii="宋体" w:hAnsi="宋体" w:eastAsia="宋体"/>
        <w:sz w:val="24"/>
        <w:szCs w:val="24"/>
      </w:rPr>
      <w:fldChar w:fldCharType="begin"/>
    </w:r>
    <w:r>
      <w:rPr>
        <w:rStyle w:val="6"/>
        <w:rFonts w:ascii="宋体" w:hAnsi="宋体" w:eastAsia="宋体"/>
        <w:sz w:val="24"/>
        <w:szCs w:val="24"/>
      </w:rPr>
      <w:instrText xml:space="preserve">PAGE  </w:instrText>
    </w:r>
    <w:r>
      <w:rPr>
        <w:rFonts w:ascii="宋体" w:hAnsi="宋体" w:eastAsia="宋体"/>
        <w:sz w:val="24"/>
        <w:szCs w:val="24"/>
      </w:rPr>
      <w:fldChar w:fldCharType="separate"/>
    </w:r>
    <w:r>
      <w:rPr>
        <w:rStyle w:val="6"/>
        <w:rFonts w:ascii="宋体" w:hAnsi="宋体" w:eastAsia="宋体"/>
        <w:sz w:val="24"/>
        <w:szCs w:val="24"/>
      </w:rPr>
      <w:t>- 6 -</w:t>
    </w:r>
    <w:r>
      <w:rPr>
        <w:rFonts w:ascii="宋体" w:hAnsi="宋体" w:eastAsia="宋体"/>
        <w:sz w:val="24"/>
        <w:szCs w:val="24"/>
      </w:rPr>
      <w:fldChar w:fldCharType="end"/>
    </w:r>
  </w:p>
  <w:p>
    <w:pPr>
      <w:pStyle w:val="2"/>
      <w:spacing w:after="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- 1 -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A7F7F"/>
    <w:rsid w:val="2D5A7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 w:type="paragraph" w:styleId="3">
    <w:name w:val="header"/>
    <w:basedOn w:val="1"/>
    <w:unhideWhenUsed/>
    <w:uiPriority w:val="99"/>
    <w:pPr>
      <w:pBdr>
        <w:bottom w:val="single" w:color="auto" w:sz="6" w:space="1"/>
      </w:pBdr>
      <w:tabs>
        <w:tab w:val="center" w:pos="4153"/>
        <w:tab w:val="right" w:pos="8306"/>
      </w:tabs>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2022-05-18T06:57:00Z</dcterms:created>
  <dc:creator>……</dc:creator>
  <cp:lastModifiedBy>……</cp:lastModifiedBy>
  <dcterms:modified xsi:type="dcterms:W3CDTF">2022-05-18T06:57:16Z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