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eastAsia="方正小标宋简体"/>
          <w:sz w:val="44"/>
          <w:szCs w:val="44"/>
        </w:rPr>
      </w:pPr>
      <w:r>
        <w:rPr>
          <w:rFonts w:hint="eastAsia" w:eastAsia="方正小标宋简体"/>
          <w:sz w:val="44"/>
          <w:szCs w:val="44"/>
        </w:rPr>
        <w:t>新郑市</w:t>
      </w:r>
      <w:r>
        <w:rPr>
          <w:rFonts w:hint="eastAsia" w:eastAsia="方正小标宋简体"/>
          <w:sz w:val="44"/>
          <w:szCs w:val="44"/>
          <w:lang w:eastAsia="zh-CN"/>
        </w:rPr>
        <w:t>税费共治工作</w:t>
      </w:r>
      <w:r>
        <w:rPr>
          <w:rFonts w:eastAsia="方正小标宋简体"/>
          <w:sz w:val="44"/>
          <w:szCs w:val="44"/>
        </w:rPr>
        <w:t>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_GB2312"/>
          <w:b w:val="0"/>
          <w:bCs w:val="0"/>
          <w:sz w:val="32"/>
          <w:szCs w:val="32"/>
          <w:lang w:eastAsia="zh-CN"/>
        </w:rPr>
      </w:pPr>
      <w:r>
        <w:rPr>
          <w:rFonts w:hint="eastAsia" w:ascii="Times New Roman" w:hAnsi="Times New Roman" w:eastAsia="楷体_GB2312"/>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ascii="仿宋_GB2312" w:hAnsi="Calibri" w:cs="宋体"/>
          <w:szCs w:val="32"/>
        </w:rPr>
      </w:pP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为推进财税与经济协调发展</w:t>
      </w:r>
      <w:r>
        <w:rPr>
          <w:rFonts w:hint="eastAsia" w:ascii="仿宋_GB2312" w:hAnsi="Calibri" w:cs="宋体"/>
          <w:szCs w:val="32"/>
        </w:rPr>
        <w:t>，</w:t>
      </w:r>
      <w:r>
        <w:rPr>
          <w:rFonts w:ascii="仿宋_GB2312" w:hAnsi="Calibri" w:cs="宋体"/>
          <w:szCs w:val="32"/>
        </w:rPr>
        <w:t>建立部门间涉税信息高度共享、相互印证的财税管理机制，有效发挥信息化技术对我</w:t>
      </w:r>
      <w:r>
        <w:rPr>
          <w:rFonts w:hint="eastAsia" w:ascii="仿宋_GB2312" w:hAnsi="Calibri" w:cs="宋体"/>
          <w:szCs w:val="32"/>
        </w:rPr>
        <w:t>市税费共治</w:t>
      </w:r>
      <w:r>
        <w:rPr>
          <w:rFonts w:ascii="仿宋_GB2312" w:hAnsi="Calibri" w:cs="宋体"/>
          <w:szCs w:val="32"/>
        </w:rPr>
        <w:t>工作提质增效的支撑作用，根据《河南省税收保障办法》（河南省人民政府令第174号）、</w:t>
      </w:r>
      <w:r>
        <w:rPr>
          <w:rFonts w:hint="eastAsia" w:ascii="仿宋_GB2312" w:hAnsi="Calibri" w:cs="宋体"/>
          <w:szCs w:val="32"/>
        </w:rPr>
        <w:t>《</w:t>
      </w:r>
      <w:r>
        <w:rPr>
          <w:rFonts w:hint="eastAsia" w:ascii="仿宋_GB2312" w:hAnsi="Calibri" w:cs="宋体"/>
          <w:szCs w:val="32"/>
          <w:lang w:eastAsia="zh-CN"/>
        </w:rPr>
        <w:t>郑州市人民政府关于印发</w:t>
      </w:r>
      <w:r>
        <w:rPr>
          <w:rFonts w:hint="eastAsia" w:ascii="仿宋_GB2312" w:hAnsi="Calibri" w:cs="宋体"/>
          <w:szCs w:val="32"/>
        </w:rPr>
        <w:t>郑州市税费共治办法（试行）</w:t>
      </w:r>
      <w:r>
        <w:rPr>
          <w:rFonts w:hint="eastAsia" w:ascii="仿宋_GB2312" w:hAnsi="Calibri" w:cs="宋体"/>
          <w:szCs w:val="32"/>
          <w:lang w:eastAsia="zh-CN"/>
        </w:rPr>
        <w:t>的通知</w:t>
      </w:r>
      <w:r>
        <w:rPr>
          <w:rFonts w:hint="eastAsia" w:ascii="仿宋_GB2312" w:hAnsi="Calibri" w:cs="宋体"/>
          <w:szCs w:val="32"/>
        </w:rPr>
        <w:t>》</w:t>
      </w:r>
      <w:r>
        <w:rPr>
          <w:rFonts w:hint="eastAsia" w:ascii="仿宋_GB2312" w:hAnsi="Calibri" w:cs="宋体"/>
          <w:szCs w:val="32"/>
          <w:lang w:eastAsia="zh-CN"/>
        </w:rPr>
        <w:t>（郑</w:t>
      </w:r>
      <w:r>
        <w:rPr>
          <w:rFonts w:ascii="仿宋_GB2312" w:hAnsi="Calibri" w:cs="宋体"/>
          <w:szCs w:val="32"/>
        </w:rPr>
        <w:t>政〔20</w:t>
      </w:r>
      <w:r>
        <w:rPr>
          <w:rFonts w:hint="eastAsia" w:ascii="仿宋_GB2312" w:hAnsi="Calibri" w:cs="宋体"/>
          <w:szCs w:val="32"/>
          <w:lang w:val="en-US" w:eastAsia="zh-CN"/>
        </w:rPr>
        <w:t>23</w:t>
      </w:r>
      <w:r>
        <w:rPr>
          <w:rFonts w:ascii="仿宋_GB2312" w:hAnsi="Calibri" w:cs="宋体"/>
          <w:szCs w:val="32"/>
        </w:rPr>
        <w:t>〕</w:t>
      </w:r>
      <w:r>
        <w:rPr>
          <w:rFonts w:hint="eastAsia" w:ascii="仿宋_GB2312" w:hAnsi="Calibri" w:cs="宋体"/>
          <w:szCs w:val="32"/>
          <w:lang w:val="en-US" w:eastAsia="zh-CN"/>
        </w:rPr>
        <w:t>20</w:t>
      </w:r>
      <w:r>
        <w:rPr>
          <w:rFonts w:ascii="仿宋_GB2312" w:hAnsi="Calibri" w:cs="宋体"/>
          <w:szCs w:val="32"/>
        </w:rPr>
        <w:t>号</w:t>
      </w:r>
      <w:r>
        <w:rPr>
          <w:rFonts w:hint="eastAsia" w:ascii="仿宋_GB2312" w:hAnsi="Calibri" w:cs="宋体"/>
          <w:szCs w:val="32"/>
          <w:lang w:eastAsia="zh-CN"/>
        </w:rPr>
        <w:t>）等精神</w:t>
      </w:r>
      <w:r>
        <w:rPr>
          <w:rFonts w:ascii="仿宋_GB2312" w:hAnsi="Calibri" w:cs="宋体"/>
          <w:szCs w:val="32"/>
        </w:rPr>
        <w:t>，</w:t>
      </w:r>
      <w:r>
        <w:rPr>
          <w:rFonts w:hint="eastAsia" w:ascii="仿宋_GB2312" w:hAnsi="Calibri" w:cs="宋体"/>
          <w:szCs w:val="32"/>
          <w:lang w:eastAsia="zh-CN"/>
        </w:rPr>
        <w:t>结合我市实际，</w:t>
      </w:r>
      <w:r>
        <w:rPr>
          <w:rFonts w:ascii="仿宋_GB2312" w:hAnsi="Calibri" w:cs="宋体"/>
          <w:szCs w:val="32"/>
        </w:rPr>
        <w:t>制</w:t>
      </w:r>
      <w:r>
        <w:rPr>
          <w:rFonts w:hint="eastAsia" w:ascii="仿宋_GB2312" w:hAnsi="Calibri" w:cs="宋体"/>
          <w:szCs w:val="32"/>
          <w:lang w:eastAsia="zh-CN"/>
        </w:rPr>
        <w:t>定</w:t>
      </w:r>
      <w:r>
        <w:rPr>
          <w:rFonts w:ascii="仿宋_GB2312" w:hAnsi="Calibri" w:cs="宋体"/>
          <w:szCs w:val="32"/>
        </w:rPr>
        <w:t>本实施方案。</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eastAsia="黑体"/>
          <w:b w:val="0"/>
          <w:bCs w:val="0"/>
          <w:szCs w:val="32"/>
        </w:rPr>
      </w:pPr>
      <w:r>
        <w:rPr>
          <w:rFonts w:eastAsia="黑体"/>
          <w:b w:val="0"/>
          <w:bCs w:val="0"/>
          <w:szCs w:val="32"/>
        </w:rPr>
        <w:t>一、总体要求</w:t>
      </w:r>
    </w:p>
    <w:p>
      <w:pPr>
        <w:keepNext w:val="0"/>
        <w:keepLines w:val="0"/>
        <w:pageBreakBefore w:val="0"/>
        <w:widowControl w:val="0"/>
        <w:kinsoku/>
        <w:wordWrap/>
        <w:overflowPunct/>
        <w:topLinePunct w:val="0"/>
        <w:autoSpaceDE w:val="0"/>
        <w:autoSpaceDN w:val="0"/>
        <w:bidi w:val="0"/>
        <w:adjustRightInd/>
        <w:snapToGrid/>
        <w:spacing w:line="570" w:lineRule="exact"/>
        <w:ind w:right="0" w:rightChars="0" w:firstLine="640" w:firstLineChars="200"/>
        <w:jc w:val="both"/>
        <w:textAlignment w:val="auto"/>
        <w:outlineLvl w:val="9"/>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w:t>
      </w:r>
      <w:r>
        <w:rPr>
          <w:rFonts w:ascii="Times New Roman" w:hAnsi="Times New Roman" w:eastAsia="楷体_GB2312"/>
          <w:b w:val="0"/>
          <w:bCs w:val="0"/>
          <w:sz w:val="32"/>
          <w:szCs w:val="32"/>
        </w:rPr>
        <w:t>一</w:t>
      </w:r>
      <w:r>
        <w:rPr>
          <w:rFonts w:hint="eastAsia" w:ascii="Times New Roman" w:hAnsi="Times New Roman" w:eastAsia="楷体_GB2312"/>
          <w:b w:val="0"/>
          <w:bCs w:val="0"/>
          <w:sz w:val="32"/>
          <w:szCs w:val="32"/>
        </w:rPr>
        <w:t>）</w:t>
      </w:r>
      <w:r>
        <w:rPr>
          <w:rFonts w:ascii="Times New Roman" w:hAnsi="Times New Roman" w:eastAsia="楷体_GB2312"/>
          <w:b w:val="0"/>
          <w:bCs w:val="0"/>
          <w:sz w:val="32"/>
          <w:szCs w:val="32"/>
        </w:rPr>
        <w:t>指导思想</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楷体" w:hAnsi="楷体" w:eastAsia="楷体"/>
          <w:szCs w:val="32"/>
        </w:rPr>
      </w:pPr>
      <w:r>
        <w:rPr>
          <w:rFonts w:ascii="仿宋_GB2312" w:hAnsi="Calibri" w:cs="宋体"/>
          <w:szCs w:val="32"/>
        </w:rPr>
        <w:t>深入贯彻习近平新时代中国特色社会主义思想，按照全面依法治国和深化财税体制改革的有关要求，以财税法律、法规为依据，以信息化手段为支撑，建立全方位、多角度的涉税信息交流平台和共享机制，为</w:t>
      </w:r>
      <w:r>
        <w:rPr>
          <w:rFonts w:hint="eastAsia" w:ascii="仿宋_GB2312" w:hAnsi="Calibri" w:cs="宋体"/>
          <w:szCs w:val="32"/>
        </w:rPr>
        <w:t>全市经济持续、健康、稳定增长</w:t>
      </w:r>
      <w:r>
        <w:rPr>
          <w:rFonts w:ascii="仿宋_GB2312" w:hAnsi="Calibri" w:cs="宋体"/>
          <w:szCs w:val="32"/>
        </w:rPr>
        <w:t>提供坚实保障。</w:t>
      </w:r>
    </w:p>
    <w:p>
      <w:pPr>
        <w:keepNext w:val="0"/>
        <w:keepLines w:val="0"/>
        <w:pageBreakBefore w:val="0"/>
        <w:widowControl w:val="0"/>
        <w:kinsoku/>
        <w:wordWrap/>
        <w:overflowPunct/>
        <w:topLinePunct w:val="0"/>
        <w:autoSpaceDE w:val="0"/>
        <w:autoSpaceDN w:val="0"/>
        <w:bidi w:val="0"/>
        <w:adjustRightInd/>
        <w:snapToGrid/>
        <w:spacing w:line="570" w:lineRule="exact"/>
        <w:ind w:right="0" w:rightChars="0" w:firstLine="640" w:firstLineChars="200"/>
        <w:jc w:val="both"/>
        <w:textAlignment w:val="auto"/>
        <w:outlineLvl w:val="9"/>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w:t>
      </w:r>
      <w:r>
        <w:rPr>
          <w:rFonts w:ascii="Times New Roman" w:hAnsi="Times New Roman" w:eastAsia="楷体_GB2312"/>
          <w:b w:val="0"/>
          <w:bCs w:val="0"/>
          <w:sz w:val="32"/>
          <w:szCs w:val="32"/>
        </w:rPr>
        <w:t>二</w:t>
      </w:r>
      <w:r>
        <w:rPr>
          <w:rFonts w:hint="eastAsia" w:ascii="Times New Roman" w:hAnsi="Times New Roman" w:eastAsia="楷体_GB2312"/>
          <w:b w:val="0"/>
          <w:bCs w:val="0"/>
          <w:sz w:val="32"/>
          <w:szCs w:val="32"/>
        </w:rPr>
        <w:t>）</w:t>
      </w:r>
      <w:r>
        <w:rPr>
          <w:rFonts w:ascii="Times New Roman" w:hAnsi="Times New Roman" w:eastAsia="楷体_GB2312"/>
          <w:b w:val="0"/>
          <w:bCs w:val="0"/>
          <w:sz w:val="32"/>
          <w:szCs w:val="32"/>
        </w:rPr>
        <w:t>总体目标</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以</w:t>
      </w:r>
      <w:r>
        <w:rPr>
          <w:rFonts w:hint="eastAsia" w:ascii="仿宋_GB2312" w:hAnsi="Calibri" w:cs="宋体"/>
          <w:szCs w:val="32"/>
        </w:rPr>
        <w:t>财税综合信息平台</w:t>
      </w:r>
      <w:r>
        <w:rPr>
          <w:rFonts w:ascii="仿宋_GB2312" w:hAnsi="Calibri" w:cs="宋体"/>
          <w:szCs w:val="32"/>
        </w:rPr>
        <w:t>为依托，充分运用云计算大数据等信息技术手段，各级、各部门协同配合，促进涉税信息资源科学配置和有效利用，</w:t>
      </w:r>
      <w:r>
        <w:rPr>
          <w:rFonts w:hint="eastAsia" w:ascii="仿宋_GB2312" w:hAnsi="Calibri" w:cs="宋体"/>
          <w:szCs w:val="32"/>
          <w:lang w:val="en-US" w:eastAsia="zh-CN"/>
        </w:rPr>
        <w:t>形成“党委领导、政府主导、财税主责、部门协作”的税费共治体系</w:t>
      </w:r>
      <w:r>
        <w:rPr>
          <w:rFonts w:ascii="仿宋_GB2312" w:hAnsi="Calibri" w:cs="宋体"/>
          <w:szCs w:val="32"/>
        </w:rPr>
        <w:t>，营造公平、统一的税收环境，提升税收征收效率和财税管理水平。</w:t>
      </w:r>
    </w:p>
    <w:p>
      <w:pPr>
        <w:keepNext w:val="0"/>
        <w:keepLines w:val="0"/>
        <w:pageBreakBefore w:val="0"/>
        <w:widowControl w:val="0"/>
        <w:kinsoku/>
        <w:wordWrap/>
        <w:overflowPunct/>
        <w:topLinePunct w:val="0"/>
        <w:autoSpaceDE w:val="0"/>
        <w:autoSpaceDN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ascii="Times New Roman" w:hAnsi="Times New Roman" w:eastAsia="楷体_GB2312"/>
          <w:b w:val="0"/>
          <w:bCs w:val="0"/>
          <w:sz w:val="32"/>
          <w:szCs w:val="32"/>
        </w:rPr>
        <w:t>（三）基本原则</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1.</w:t>
      </w:r>
      <w:r>
        <w:rPr>
          <w:rFonts w:hint="eastAsia" w:ascii="仿宋_GB2312" w:hAnsi="Calibri" w:cs="宋体"/>
          <w:szCs w:val="32"/>
        </w:rPr>
        <w:t>统筹</w:t>
      </w:r>
      <w:r>
        <w:rPr>
          <w:rFonts w:ascii="仿宋_GB2312" w:hAnsi="Calibri" w:cs="宋体"/>
          <w:szCs w:val="32"/>
        </w:rPr>
        <w:t>实施。统筹兼顾全</w:t>
      </w:r>
      <w:r>
        <w:rPr>
          <w:rFonts w:hint="eastAsia" w:ascii="仿宋_GB2312" w:hAnsi="Calibri" w:cs="宋体"/>
          <w:szCs w:val="32"/>
        </w:rPr>
        <w:t>市</w:t>
      </w:r>
      <w:r>
        <w:rPr>
          <w:rFonts w:ascii="仿宋_GB2312" w:hAnsi="Calibri" w:cs="宋体"/>
          <w:szCs w:val="32"/>
        </w:rPr>
        <w:t>经济社会发展和财税体制改革需要，健全工作机制。坚持自上而下的指导与自下而上的探索相统一，鼓励</w:t>
      </w:r>
      <w:r>
        <w:rPr>
          <w:rFonts w:hint="eastAsia" w:ascii="仿宋_GB2312" w:hAnsi="Calibri" w:cs="宋体"/>
          <w:szCs w:val="32"/>
        </w:rPr>
        <w:t>各部门</w:t>
      </w:r>
      <w:r>
        <w:rPr>
          <w:rFonts w:ascii="仿宋_GB2312" w:hAnsi="Calibri" w:cs="宋体"/>
          <w:szCs w:val="32"/>
        </w:rPr>
        <w:t>发挥主观能动性和创造性。</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2.协同配合。坚持税务机关征税主体地位，明确各有关部门的职责，实现</w:t>
      </w:r>
      <w:r>
        <w:rPr>
          <w:rFonts w:hint="eastAsia" w:ascii="仿宋_GB2312" w:hAnsi="Calibri" w:cs="宋体"/>
          <w:szCs w:val="32"/>
          <w:lang w:eastAsia="zh-CN"/>
        </w:rPr>
        <w:t>县乡</w:t>
      </w:r>
      <w:r>
        <w:rPr>
          <w:rFonts w:ascii="仿宋_GB2312" w:hAnsi="Calibri" w:cs="宋体"/>
          <w:szCs w:val="32"/>
        </w:rPr>
        <w:t>政府之间、各有关部门之间的协同配合，由税务机关单一征管转变为多部门联动协作、共同推进。</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lang w:val="en-US" w:eastAsia="zh-CN"/>
        </w:rPr>
        <w:t>3</w:t>
      </w:r>
      <w:r>
        <w:rPr>
          <w:rFonts w:ascii="仿宋_GB2312" w:hAnsi="Calibri" w:cs="宋体"/>
          <w:szCs w:val="32"/>
        </w:rPr>
        <w:t>.注重应用。以实施</w:t>
      </w:r>
      <w:r>
        <w:rPr>
          <w:rFonts w:hint="eastAsia" w:ascii="仿宋_GB2312" w:hAnsi="Calibri" w:cs="宋体"/>
          <w:szCs w:val="32"/>
        </w:rPr>
        <w:t>税费共治</w:t>
      </w:r>
      <w:r>
        <w:rPr>
          <w:rFonts w:ascii="仿宋_GB2312" w:hAnsi="Calibri" w:cs="宋体"/>
          <w:szCs w:val="32"/>
        </w:rPr>
        <w:t>为突破口，促进</w:t>
      </w:r>
      <w:r>
        <w:rPr>
          <w:rFonts w:hint="eastAsia" w:ascii="仿宋_GB2312" w:hAnsi="Calibri" w:cs="宋体"/>
          <w:szCs w:val="32"/>
        </w:rPr>
        <w:t>大</w:t>
      </w:r>
      <w:r>
        <w:rPr>
          <w:rFonts w:ascii="仿宋_GB2312" w:hAnsi="Calibri" w:cs="宋体"/>
          <w:szCs w:val="32"/>
        </w:rPr>
        <w:t>数据分析能力提升，为有效处理复杂</w:t>
      </w:r>
      <w:r>
        <w:rPr>
          <w:rFonts w:hint="eastAsia" w:ascii="仿宋_GB2312" w:hAnsi="Calibri" w:cs="宋体"/>
          <w:szCs w:val="32"/>
        </w:rPr>
        <w:t>税收征管</w:t>
      </w:r>
      <w:r>
        <w:rPr>
          <w:rFonts w:ascii="仿宋_GB2312" w:hAnsi="Calibri" w:cs="宋体"/>
          <w:szCs w:val="32"/>
        </w:rPr>
        <w:t>问题提供新手段，逐步实现基于大数据的</w:t>
      </w:r>
      <w:r>
        <w:rPr>
          <w:rFonts w:hint="eastAsia" w:ascii="仿宋_GB2312" w:hAnsi="Calibri" w:cs="宋体"/>
          <w:szCs w:val="32"/>
        </w:rPr>
        <w:t>税收征管</w:t>
      </w:r>
      <w:r>
        <w:rPr>
          <w:rFonts w:ascii="仿宋_GB2312" w:hAnsi="Calibri" w:cs="宋体"/>
          <w:szCs w:val="32"/>
        </w:rPr>
        <w:t>科学决策。</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eastAsia="黑体"/>
          <w:b w:val="0"/>
          <w:bCs w:val="0"/>
          <w:szCs w:val="32"/>
        </w:rPr>
      </w:pPr>
      <w:r>
        <w:rPr>
          <w:rFonts w:eastAsia="黑体"/>
          <w:b w:val="0"/>
          <w:bCs w:val="0"/>
          <w:szCs w:val="32"/>
        </w:rPr>
        <w:t>二、主要任务</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ascii="Times New Roman" w:hAnsi="Times New Roman" w:eastAsia="楷体_GB2312"/>
          <w:b w:val="0"/>
          <w:bCs w:val="0"/>
          <w:sz w:val="32"/>
          <w:szCs w:val="32"/>
        </w:rPr>
        <w:t>（一）建立财税综合信息平台</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color w:val="000000" w:themeColor="text1"/>
          <w:szCs w:val="32"/>
          <w:lang w:val="en-US" w:eastAsia="zh-CN"/>
          <w14:textFill>
            <w14:solidFill>
              <w14:schemeClr w14:val="tx1"/>
            </w14:solidFill>
          </w14:textFill>
        </w:rPr>
        <w:t>成立新郑市税费共治领导小组，</w:t>
      </w:r>
      <w:r>
        <w:rPr>
          <w:rFonts w:hint="eastAsia" w:ascii="仿宋_GB2312" w:hAnsi="Calibri" w:cs="宋体"/>
          <w:szCs w:val="32"/>
          <w:lang w:val="en-US" w:eastAsia="zh-CN"/>
        </w:rPr>
        <w:t>领导小组下设办公室，</w:t>
      </w:r>
      <w:r>
        <w:rPr>
          <w:rFonts w:hint="eastAsia" w:ascii="仿宋_GB2312" w:hAnsi="Calibri" w:cs="宋体"/>
          <w:szCs w:val="32"/>
        </w:rPr>
        <w:t>市税费共治领导小组办公室</w:t>
      </w:r>
      <w:r>
        <w:rPr>
          <w:rFonts w:hint="eastAsia" w:ascii="仿宋_GB2312" w:hAnsi="Calibri" w:cs="宋体"/>
          <w:szCs w:val="32"/>
          <w:lang w:eastAsia="zh-CN"/>
        </w:rPr>
        <w:t>（以下简称领导小组办公室）负责</w:t>
      </w:r>
      <w:r>
        <w:rPr>
          <w:rFonts w:hint="eastAsia" w:ascii="仿宋_GB2312" w:hAnsi="Calibri" w:cs="宋体"/>
          <w:szCs w:val="32"/>
        </w:rPr>
        <w:t>开</w:t>
      </w:r>
      <w:r>
        <w:rPr>
          <w:rFonts w:ascii="仿宋_GB2312" w:hAnsi="Calibri" w:cs="宋体"/>
          <w:szCs w:val="32"/>
        </w:rPr>
        <w:t>发和建设</w:t>
      </w:r>
      <w:r>
        <w:rPr>
          <w:rFonts w:hint="eastAsia" w:ascii="仿宋_GB2312" w:hAnsi="Calibri" w:cs="宋体"/>
          <w:szCs w:val="32"/>
        </w:rPr>
        <w:t>全市财税综合信息平台</w:t>
      </w:r>
      <w:r>
        <w:rPr>
          <w:rFonts w:ascii="仿宋_GB2312" w:hAnsi="Calibri" w:cs="宋体"/>
          <w:szCs w:val="32"/>
        </w:rPr>
        <w:t>，结合税收征管需要和部门职责，对各相关部门提供</w:t>
      </w:r>
      <w:r>
        <w:rPr>
          <w:rFonts w:hint="eastAsia" w:ascii="仿宋_GB2312" w:hAnsi="Calibri" w:cs="宋体"/>
          <w:szCs w:val="32"/>
          <w:lang w:eastAsia="zh-CN"/>
        </w:rPr>
        <w:t>的</w:t>
      </w:r>
      <w:r>
        <w:rPr>
          <w:rFonts w:ascii="仿宋_GB2312" w:hAnsi="Calibri" w:cs="宋体"/>
          <w:szCs w:val="32"/>
        </w:rPr>
        <w:t>涉税信息的内容范围、标准格式、传递时限等作出具体规定；要不断完善涉税信息处理功能，确保各成员单位之间信息交流共享和业务协同顺畅高效。</w:t>
      </w:r>
    </w:p>
    <w:p>
      <w:pPr>
        <w:keepNext w:val="0"/>
        <w:keepLines w:val="0"/>
        <w:pageBreakBefore w:val="0"/>
        <w:widowControl w:val="0"/>
        <w:numPr>
          <w:ilvl w:val="0"/>
          <w:numId w:val="0"/>
        </w:numPr>
        <w:kinsoku/>
        <w:wordWrap/>
        <w:overflowPunct/>
        <w:topLinePunct w:val="0"/>
        <w:bidi w:val="0"/>
        <w:adjustRightInd/>
        <w:snapToGrid/>
        <w:spacing w:line="570" w:lineRule="exact"/>
        <w:ind w:left="640" w:leftChars="0" w:right="0" w:rightChars="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（二）</w:t>
      </w:r>
      <w:r>
        <w:rPr>
          <w:rFonts w:hint="eastAsia" w:ascii="Times New Roman" w:hAnsi="Times New Roman" w:eastAsia="楷体_GB2312"/>
          <w:b w:val="0"/>
          <w:bCs w:val="0"/>
          <w:sz w:val="32"/>
          <w:szCs w:val="32"/>
        </w:rPr>
        <w:t>健全税费共治管理制度</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研究制定信息采集、交换、处理、报送、保密和成果应用</w:t>
      </w:r>
      <w:r>
        <w:rPr>
          <w:rFonts w:hint="eastAsia" w:ascii="仿宋_GB2312" w:hAnsi="Calibri" w:cs="宋体"/>
          <w:szCs w:val="32"/>
          <w:lang w:eastAsia="zh-CN"/>
        </w:rPr>
        <w:t>、</w:t>
      </w:r>
      <w:r>
        <w:rPr>
          <w:rFonts w:ascii="仿宋_GB2312" w:hAnsi="Calibri" w:cs="宋体"/>
          <w:szCs w:val="32"/>
        </w:rPr>
        <w:t>考核奖惩等各项工作管理制度。建立稳定的</w:t>
      </w:r>
      <w:r>
        <w:rPr>
          <w:rFonts w:hint="eastAsia" w:ascii="仿宋_GB2312" w:hAnsi="Calibri" w:cs="宋体"/>
          <w:szCs w:val="32"/>
        </w:rPr>
        <w:t>财税综合信息平台</w:t>
      </w:r>
      <w:r>
        <w:rPr>
          <w:rFonts w:ascii="仿宋_GB2312" w:hAnsi="Calibri" w:cs="宋体"/>
          <w:szCs w:val="32"/>
        </w:rPr>
        <w:t>信息</w:t>
      </w:r>
      <w:r>
        <w:rPr>
          <w:rFonts w:hint="eastAsia" w:ascii="仿宋_GB2312" w:hAnsi="Calibri" w:cs="宋体"/>
          <w:szCs w:val="32"/>
        </w:rPr>
        <w:t>联络</w:t>
      </w:r>
      <w:r>
        <w:rPr>
          <w:rFonts w:ascii="仿宋_GB2312" w:hAnsi="Calibri" w:cs="宋体"/>
          <w:szCs w:val="32"/>
        </w:rPr>
        <w:t>员队伍，制定</w:t>
      </w:r>
      <w:r>
        <w:rPr>
          <w:rFonts w:hint="eastAsia" w:ascii="仿宋_GB2312" w:hAnsi="Calibri" w:cs="宋体"/>
          <w:szCs w:val="32"/>
        </w:rPr>
        <w:t>财税综合信息平台</w:t>
      </w:r>
      <w:r>
        <w:rPr>
          <w:rFonts w:ascii="仿宋_GB2312" w:hAnsi="Calibri" w:cs="宋体"/>
          <w:szCs w:val="32"/>
        </w:rPr>
        <w:t>信息</w:t>
      </w:r>
      <w:r>
        <w:rPr>
          <w:rFonts w:hint="eastAsia" w:ascii="仿宋_GB2312" w:hAnsi="Calibri" w:cs="宋体"/>
          <w:szCs w:val="32"/>
        </w:rPr>
        <w:t>联络</w:t>
      </w:r>
      <w:r>
        <w:rPr>
          <w:rFonts w:ascii="仿宋_GB2312" w:hAnsi="Calibri" w:cs="宋体"/>
          <w:szCs w:val="32"/>
        </w:rPr>
        <w:t>员制度，明确信息</w:t>
      </w:r>
      <w:r>
        <w:rPr>
          <w:rFonts w:hint="eastAsia" w:ascii="仿宋_GB2312" w:hAnsi="Calibri" w:cs="宋体"/>
          <w:szCs w:val="32"/>
        </w:rPr>
        <w:t>联络</w:t>
      </w:r>
      <w:r>
        <w:rPr>
          <w:rFonts w:ascii="仿宋_GB2312" w:hAnsi="Calibri" w:cs="宋体"/>
          <w:szCs w:val="32"/>
        </w:rPr>
        <w:t>员职责，做好涉税信息采集、报送、反馈等工作。加大对信息</w:t>
      </w:r>
      <w:r>
        <w:rPr>
          <w:rFonts w:hint="eastAsia" w:ascii="仿宋_GB2312" w:hAnsi="Calibri" w:cs="宋体"/>
          <w:szCs w:val="32"/>
        </w:rPr>
        <w:t>联络</w:t>
      </w:r>
      <w:r>
        <w:rPr>
          <w:rFonts w:ascii="仿宋_GB2312" w:hAnsi="Calibri" w:cs="宋体"/>
          <w:szCs w:val="32"/>
        </w:rPr>
        <w:t>员的培训力度，保证涉税信息质量，提升信息</w:t>
      </w:r>
      <w:r>
        <w:rPr>
          <w:rFonts w:hint="eastAsia" w:ascii="仿宋_GB2312" w:hAnsi="Calibri" w:cs="宋体"/>
          <w:szCs w:val="32"/>
        </w:rPr>
        <w:t>联络</w:t>
      </w:r>
      <w:r>
        <w:rPr>
          <w:rFonts w:ascii="仿宋_GB2312" w:hAnsi="Calibri" w:cs="宋体"/>
          <w:szCs w:val="32"/>
        </w:rPr>
        <w:t>员信息保密和安全意识。</w:t>
      </w:r>
    </w:p>
    <w:p>
      <w:pPr>
        <w:keepNext w:val="0"/>
        <w:keepLines w:val="0"/>
        <w:pageBreakBefore w:val="0"/>
        <w:widowControl w:val="0"/>
        <w:numPr>
          <w:ilvl w:val="0"/>
          <w:numId w:val="0"/>
        </w:numPr>
        <w:kinsoku/>
        <w:wordWrap/>
        <w:overflowPunct/>
        <w:topLinePunct w:val="0"/>
        <w:bidi w:val="0"/>
        <w:adjustRightInd/>
        <w:snapToGrid/>
        <w:spacing w:line="570" w:lineRule="exact"/>
        <w:ind w:left="640" w:leftChars="0" w:right="0" w:rightChars="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（三）</w:t>
      </w:r>
      <w:r>
        <w:rPr>
          <w:rFonts w:hint="eastAsia" w:ascii="Times New Roman" w:hAnsi="Times New Roman" w:eastAsia="楷体_GB2312"/>
          <w:b w:val="0"/>
          <w:bCs w:val="0"/>
          <w:sz w:val="32"/>
          <w:szCs w:val="32"/>
        </w:rPr>
        <w:t>加强涉税信息分析利用</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rPr>
        <w:t>领导小组办公室要指导各有关部门充分利用涉</w:t>
      </w:r>
      <w:r>
        <w:rPr>
          <w:rFonts w:ascii="仿宋_GB2312" w:hAnsi="Calibri" w:cs="宋体"/>
          <w:szCs w:val="32"/>
        </w:rPr>
        <w:t>税信息开展税收风险评估，围绕重要税种、重点行业和重点企业，深入查找税收征管问题和不足，不断完善税收征管机制。针对疑点信息涉及的重点领域要加大税收专项检查力度，确保税源管控的有效性，切实防范税收征管风险。逐步将涉税信息运用于税额核定、纳税评估、税务稽查、涉税司法案件查处、纳税信用等级评定及财政资金安排等领域，不断延伸涉税信息利用链条。</w:t>
      </w:r>
      <w:r>
        <w:rPr>
          <w:rFonts w:hint="eastAsia" w:ascii="仿宋_GB2312" w:hAnsi="Calibri" w:cs="宋体"/>
          <w:szCs w:val="32"/>
        </w:rPr>
        <w:t>市税费共治领导小组办公室</w:t>
      </w:r>
      <w:r>
        <w:rPr>
          <w:rFonts w:ascii="仿宋_GB2312" w:hAnsi="Calibri" w:cs="宋体"/>
          <w:szCs w:val="32"/>
        </w:rPr>
        <w:t>要加强与软件开发公司合作，开展涉税信息数据挖掘、统计分析等，建立涉税信息评估分析模型，做好财税收入预测、税收政策研究和经济运行分析等工作，为政府决策提供参考。</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color w:val="000000" w:themeColor="text1"/>
          <w:sz w:val="32"/>
          <w:szCs w:val="32"/>
          <w14:textFill>
            <w14:solidFill>
              <w14:schemeClr w14:val="tx1"/>
            </w14:solidFill>
          </w14:textFill>
        </w:rPr>
      </w:pPr>
      <w:r>
        <w:rPr>
          <w:rFonts w:hint="eastAsia" w:eastAsia="楷体_GB2312"/>
          <w:b w:val="0"/>
          <w:bCs w:val="0"/>
          <w:color w:val="000000" w:themeColor="text1"/>
          <w:sz w:val="32"/>
          <w:szCs w:val="32"/>
          <w:lang w:eastAsia="zh-CN"/>
          <w14:textFill>
            <w14:solidFill>
              <w14:schemeClr w14:val="tx1"/>
            </w14:solidFill>
          </w14:textFill>
        </w:rPr>
        <w:t>（四）</w:t>
      </w:r>
      <w:r>
        <w:rPr>
          <w:rFonts w:hint="eastAsia" w:ascii="Times New Roman" w:hAnsi="Times New Roman" w:eastAsia="楷体_GB2312"/>
          <w:b w:val="0"/>
          <w:bCs w:val="0"/>
          <w:color w:val="000000" w:themeColor="text1"/>
          <w:sz w:val="32"/>
          <w:szCs w:val="32"/>
          <w14:textFill>
            <w14:solidFill>
              <w14:schemeClr w14:val="tx1"/>
            </w14:solidFill>
          </w14:textFill>
        </w:rPr>
        <w:t>规范涉税信息安全管理</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color w:val="000000" w:themeColor="text1"/>
          <w:szCs w:val="32"/>
          <w14:textFill>
            <w14:solidFill>
              <w14:schemeClr w14:val="tx1"/>
            </w14:solidFill>
          </w14:textFill>
        </w:rPr>
      </w:pPr>
      <w:r>
        <w:rPr>
          <w:rFonts w:hint="eastAsia" w:ascii="仿宋_GB2312" w:hAnsi="Calibri" w:cs="宋体"/>
          <w:color w:val="000000" w:themeColor="text1"/>
          <w:szCs w:val="32"/>
          <w14:textFill>
            <w14:solidFill>
              <w14:schemeClr w14:val="tx1"/>
            </w14:solidFill>
          </w14:textFill>
        </w:rPr>
        <w:t>领导小组办公室</w:t>
      </w:r>
      <w:r>
        <w:rPr>
          <w:rFonts w:ascii="仿宋_GB2312" w:hAnsi="Calibri" w:cs="宋体"/>
          <w:color w:val="000000" w:themeColor="text1"/>
          <w:szCs w:val="32"/>
          <w14:textFill>
            <w14:solidFill>
              <w14:schemeClr w14:val="tx1"/>
            </w14:solidFill>
          </w14:textFill>
        </w:rPr>
        <w:t>要严格按照谁拥有、谁定级、谁使用、谁管理的原则，根据数据使用单位工作需要和数据提供单位授权，严格分配数据使用权限，最大限度保障数据信息安全。在涉税信息接收、使用、保管和销毁等过程中</w:t>
      </w:r>
      <w:r>
        <w:rPr>
          <w:rFonts w:hint="eastAsia" w:ascii="仿宋_GB2312" w:hAnsi="Calibri" w:cs="宋体"/>
          <w:color w:val="000000" w:themeColor="text1"/>
          <w:szCs w:val="32"/>
          <w14:textFill>
            <w14:solidFill>
              <w14:schemeClr w14:val="tx1"/>
            </w14:solidFill>
          </w14:textFill>
        </w:rPr>
        <w:t>，</w:t>
      </w:r>
      <w:r>
        <w:rPr>
          <w:rFonts w:ascii="仿宋_GB2312" w:hAnsi="Calibri" w:cs="宋体"/>
          <w:color w:val="000000" w:themeColor="text1"/>
          <w:szCs w:val="32"/>
          <w14:textFill>
            <w14:solidFill>
              <w14:schemeClr w14:val="tx1"/>
            </w14:solidFill>
          </w14:textFill>
        </w:rPr>
        <w:t>各相关部门工作人员对其中的国家秘密、商业秘密和个人隐私等信息依法负有保密义务，严</w:t>
      </w:r>
      <w:r>
        <w:rPr>
          <w:rFonts w:hint="eastAsia" w:ascii="仿宋_GB2312" w:hAnsi="Calibri" w:cs="宋体"/>
          <w:color w:val="000000" w:themeColor="text1"/>
          <w:szCs w:val="32"/>
          <w:lang w:eastAsia="zh-CN"/>
          <w14:textFill>
            <w14:solidFill>
              <w14:schemeClr w14:val="tx1"/>
            </w14:solidFill>
          </w14:textFill>
        </w:rPr>
        <w:t>禁</w:t>
      </w:r>
      <w:r>
        <w:rPr>
          <w:rFonts w:ascii="仿宋_GB2312" w:hAnsi="Calibri" w:cs="宋体"/>
          <w:color w:val="000000" w:themeColor="text1"/>
          <w:szCs w:val="32"/>
          <w14:textFill>
            <w14:solidFill>
              <w14:schemeClr w14:val="tx1"/>
            </w14:solidFill>
          </w14:textFill>
        </w:rPr>
        <w:t>泄露相关信息，确保部门和纳税人的合法权益不受侵害。</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eastAsia="黑体"/>
          <w:b w:val="0"/>
          <w:bCs w:val="0"/>
          <w:szCs w:val="32"/>
        </w:rPr>
      </w:pPr>
      <w:r>
        <w:rPr>
          <w:rFonts w:hint="eastAsia" w:eastAsia="黑体"/>
          <w:b w:val="0"/>
          <w:bCs w:val="0"/>
          <w:szCs w:val="32"/>
        </w:rPr>
        <w:t>三</w:t>
      </w:r>
      <w:r>
        <w:rPr>
          <w:rFonts w:eastAsia="黑体"/>
          <w:b w:val="0"/>
          <w:bCs w:val="0"/>
          <w:szCs w:val="32"/>
        </w:rPr>
        <w:t>、实施</w:t>
      </w:r>
      <w:r>
        <w:rPr>
          <w:rFonts w:hint="eastAsia" w:eastAsia="黑体"/>
          <w:b w:val="0"/>
          <w:bCs w:val="0"/>
          <w:szCs w:val="32"/>
        </w:rPr>
        <w:t>步骤和</w:t>
      </w:r>
      <w:r>
        <w:rPr>
          <w:rFonts w:eastAsia="黑体"/>
          <w:b w:val="0"/>
          <w:bCs w:val="0"/>
          <w:szCs w:val="32"/>
        </w:rPr>
        <w:t>时间</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ascii="Times New Roman" w:hAnsi="Times New Roman" w:eastAsia="楷体_GB2312"/>
          <w:b w:val="0"/>
          <w:bCs w:val="0"/>
          <w:sz w:val="32"/>
          <w:szCs w:val="32"/>
        </w:rPr>
        <w:t>（一）系统搭建</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rPr>
        <w:t>领导小组办公室</w:t>
      </w:r>
      <w:r>
        <w:rPr>
          <w:rFonts w:ascii="仿宋_GB2312" w:hAnsi="Calibri" w:cs="宋体"/>
          <w:szCs w:val="32"/>
        </w:rPr>
        <w:t>配合软件开发公司开展</w:t>
      </w:r>
      <w:r>
        <w:rPr>
          <w:rFonts w:hint="eastAsia" w:ascii="仿宋_GB2312" w:hAnsi="Calibri" w:cs="宋体"/>
          <w:szCs w:val="32"/>
        </w:rPr>
        <w:t>财税综合信息平台</w:t>
      </w:r>
      <w:r>
        <w:rPr>
          <w:rFonts w:ascii="仿宋_GB2312" w:hAnsi="Calibri" w:cs="宋体"/>
          <w:szCs w:val="32"/>
        </w:rPr>
        <w:t>前期需求调研，按照招标文件确定的内容完成</w:t>
      </w:r>
      <w:r>
        <w:rPr>
          <w:rFonts w:hint="eastAsia" w:ascii="仿宋_GB2312" w:hAnsi="Calibri" w:cs="宋体"/>
          <w:szCs w:val="32"/>
        </w:rPr>
        <w:t>市财税综合信息平台</w:t>
      </w:r>
      <w:r>
        <w:rPr>
          <w:rFonts w:ascii="仿宋_GB2312" w:hAnsi="Calibri" w:cs="宋体"/>
          <w:szCs w:val="32"/>
        </w:rPr>
        <w:t>的研发部署工作</w:t>
      </w:r>
      <w:r>
        <w:rPr>
          <w:rFonts w:hint="eastAsia" w:ascii="仿宋_GB2312" w:hAnsi="Calibri" w:cs="宋体"/>
          <w:szCs w:val="32"/>
          <w:lang w:eastAsia="zh-CN"/>
        </w:rPr>
        <w:t>（</w:t>
      </w:r>
      <w:r>
        <w:rPr>
          <w:rFonts w:ascii="仿宋_GB2312" w:hAnsi="Calibri" w:cs="宋体"/>
          <w:szCs w:val="32"/>
        </w:rPr>
        <w:t>完成时限：</w:t>
      </w:r>
      <w:r>
        <w:rPr>
          <w:rFonts w:hint="eastAsia" w:ascii="仿宋_GB2312" w:hAnsi="Calibri" w:cs="宋体"/>
          <w:szCs w:val="32"/>
        </w:rPr>
        <w:t>202</w:t>
      </w:r>
      <w:r>
        <w:rPr>
          <w:rFonts w:hint="eastAsia" w:ascii="仿宋_GB2312" w:hAnsi="Calibri" w:cs="宋体"/>
          <w:szCs w:val="32"/>
          <w:lang w:val="en-US" w:eastAsia="zh-CN"/>
        </w:rPr>
        <w:t>4</w:t>
      </w:r>
      <w:r>
        <w:rPr>
          <w:rFonts w:hint="eastAsia" w:ascii="仿宋_GB2312" w:hAnsi="Calibri" w:cs="宋体"/>
          <w:szCs w:val="32"/>
        </w:rPr>
        <w:t>年</w:t>
      </w:r>
      <w:r>
        <w:rPr>
          <w:rFonts w:hint="eastAsia" w:ascii="仿宋_GB2312" w:hAnsi="Calibri" w:cs="宋体"/>
          <w:szCs w:val="32"/>
          <w:lang w:val="en-US" w:eastAsia="zh-CN"/>
        </w:rPr>
        <w:t>3月底前</w:t>
      </w:r>
      <w:r>
        <w:rPr>
          <w:rFonts w:hint="eastAsia" w:ascii="仿宋_GB2312" w:hAnsi="Calibri" w:cs="宋体"/>
          <w:szCs w:val="32"/>
          <w:lang w:eastAsia="zh-CN"/>
        </w:rPr>
        <w:t>）</w:t>
      </w:r>
      <w:r>
        <w:rPr>
          <w:rFonts w:ascii="仿宋_GB2312" w:hAnsi="Calibri" w:cs="宋体"/>
          <w:szCs w:val="32"/>
        </w:rPr>
        <w:t>。</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（二）</w:t>
      </w:r>
      <w:r>
        <w:rPr>
          <w:rFonts w:hint="eastAsia" w:ascii="Times New Roman" w:hAnsi="Times New Roman" w:eastAsia="楷体_GB2312"/>
          <w:b w:val="0"/>
          <w:bCs w:val="0"/>
          <w:sz w:val="32"/>
          <w:szCs w:val="32"/>
        </w:rPr>
        <w:t>制度建设</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rPr>
        <w:t>领导小组办公室</w:t>
      </w:r>
      <w:r>
        <w:rPr>
          <w:rFonts w:ascii="仿宋_GB2312" w:hAnsi="Calibri" w:cs="宋体"/>
          <w:szCs w:val="32"/>
        </w:rPr>
        <w:t>牵头完成</w:t>
      </w:r>
      <w:r>
        <w:rPr>
          <w:rFonts w:hint="eastAsia" w:ascii="仿宋_GB2312" w:hAnsi="Calibri" w:cs="宋体"/>
          <w:szCs w:val="32"/>
        </w:rPr>
        <w:t>财税综合信息平台涉税信息报送工作</w:t>
      </w:r>
      <w:r>
        <w:rPr>
          <w:rFonts w:ascii="仿宋_GB2312" w:hAnsi="Calibri" w:cs="宋体"/>
          <w:szCs w:val="32"/>
        </w:rPr>
        <w:t>考核办法、涉税信息</w:t>
      </w:r>
      <w:r>
        <w:rPr>
          <w:rFonts w:hint="eastAsia" w:ascii="仿宋_GB2312" w:hAnsi="Calibri" w:cs="宋体"/>
          <w:szCs w:val="32"/>
        </w:rPr>
        <w:t>采集</w:t>
      </w:r>
      <w:r>
        <w:rPr>
          <w:rFonts w:ascii="仿宋_GB2312" w:hAnsi="Calibri" w:cs="宋体"/>
          <w:szCs w:val="32"/>
        </w:rPr>
        <w:t>目录</w:t>
      </w:r>
      <w:r>
        <w:rPr>
          <w:rFonts w:hint="eastAsia" w:ascii="仿宋_GB2312" w:hAnsi="Calibri" w:cs="宋体"/>
          <w:szCs w:val="32"/>
        </w:rPr>
        <w:t>202</w:t>
      </w:r>
      <w:r>
        <w:rPr>
          <w:rFonts w:ascii="仿宋_GB2312" w:hAnsi="Calibri" w:cs="宋体"/>
          <w:szCs w:val="32"/>
        </w:rPr>
        <w:t>3</w:t>
      </w:r>
      <w:r>
        <w:rPr>
          <w:rFonts w:hint="eastAsia" w:ascii="仿宋_GB2312" w:hAnsi="Calibri" w:cs="宋体"/>
          <w:szCs w:val="32"/>
        </w:rPr>
        <w:t>版</w:t>
      </w:r>
      <w:r>
        <w:rPr>
          <w:rFonts w:ascii="仿宋_GB2312" w:hAnsi="Calibri" w:cs="宋体"/>
          <w:szCs w:val="32"/>
        </w:rPr>
        <w:t>及信息采集样表等各项制度文件征求意见工作，在修改完善的基础上报</w:t>
      </w:r>
      <w:r>
        <w:rPr>
          <w:rFonts w:hint="eastAsia" w:ascii="仿宋_GB2312" w:hAnsi="Calibri" w:cs="宋体"/>
          <w:szCs w:val="32"/>
        </w:rPr>
        <w:t>市税费共治领导小组办公室</w:t>
      </w:r>
      <w:r>
        <w:rPr>
          <w:rFonts w:ascii="仿宋_GB2312" w:hAnsi="Calibri" w:cs="宋体"/>
          <w:szCs w:val="32"/>
        </w:rPr>
        <w:t>同意并印发</w:t>
      </w:r>
      <w:r>
        <w:rPr>
          <w:rFonts w:hint="eastAsia" w:ascii="仿宋_GB2312" w:hAnsi="Calibri" w:cs="宋体"/>
          <w:szCs w:val="32"/>
          <w:lang w:eastAsia="zh-CN"/>
        </w:rPr>
        <w:t>（</w:t>
      </w:r>
      <w:r>
        <w:rPr>
          <w:rFonts w:ascii="仿宋_GB2312" w:hAnsi="Calibri" w:cs="宋体"/>
          <w:szCs w:val="32"/>
        </w:rPr>
        <w:t>完成时限：</w:t>
      </w:r>
      <w:r>
        <w:rPr>
          <w:rFonts w:hint="eastAsia" w:ascii="仿宋_GB2312" w:hAnsi="Calibri" w:cs="宋体"/>
          <w:szCs w:val="32"/>
        </w:rPr>
        <w:t>202</w:t>
      </w:r>
      <w:r>
        <w:rPr>
          <w:rFonts w:ascii="仿宋_GB2312" w:hAnsi="Calibri" w:cs="宋体"/>
          <w:szCs w:val="32"/>
        </w:rPr>
        <w:t>4</w:t>
      </w:r>
      <w:r>
        <w:rPr>
          <w:rFonts w:hint="eastAsia" w:ascii="仿宋_GB2312" w:hAnsi="Calibri" w:cs="宋体"/>
          <w:szCs w:val="32"/>
        </w:rPr>
        <w:t>年</w:t>
      </w:r>
      <w:r>
        <w:rPr>
          <w:rFonts w:hint="eastAsia" w:ascii="仿宋_GB2312" w:hAnsi="Calibri" w:cs="宋体"/>
          <w:szCs w:val="32"/>
          <w:lang w:val="en-US" w:eastAsia="zh-CN"/>
        </w:rPr>
        <w:t>3月底前</w:t>
      </w:r>
      <w:r>
        <w:rPr>
          <w:rFonts w:hint="eastAsia" w:ascii="仿宋_GB2312" w:hAnsi="Calibri" w:cs="宋体"/>
          <w:szCs w:val="32"/>
          <w:lang w:eastAsia="zh-CN"/>
        </w:rPr>
        <w:t>）</w:t>
      </w:r>
      <w:r>
        <w:rPr>
          <w:rFonts w:ascii="仿宋_GB2312" w:hAnsi="Calibri" w:cs="宋体"/>
          <w:szCs w:val="32"/>
        </w:rPr>
        <w:t>。</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（三）</w:t>
      </w:r>
      <w:r>
        <w:rPr>
          <w:rFonts w:hint="eastAsia" w:ascii="Times New Roman" w:hAnsi="Times New Roman" w:eastAsia="楷体_GB2312"/>
          <w:b w:val="0"/>
          <w:bCs w:val="0"/>
          <w:sz w:val="32"/>
          <w:szCs w:val="32"/>
        </w:rPr>
        <w:t>会议动员</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楷体" w:hAnsi="楷体" w:eastAsia="楷体"/>
          <w:szCs w:val="32"/>
        </w:rPr>
      </w:pPr>
      <w:r>
        <w:rPr>
          <w:rFonts w:hint="eastAsia" w:ascii="仿宋_GB2312" w:hAnsi="Calibri" w:cs="宋体"/>
          <w:szCs w:val="32"/>
        </w:rPr>
        <w:t>领导小组办公室</w:t>
      </w:r>
      <w:r>
        <w:rPr>
          <w:rFonts w:ascii="仿宋_GB2312" w:hAnsi="Calibri" w:cs="宋体"/>
          <w:szCs w:val="32"/>
        </w:rPr>
        <w:t>筹备召开全</w:t>
      </w:r>
      <w:r>
        <w:rPr>
          <w:rFonts w:hint="eastAsia" w:ascii="仿宋_GB2312" w:hAnsi="Calibri" w:cs="宋体"/>
          <w:szCs w:val="32"/>
        </w:rPr>
        <w:t>市税费共治</w:t>
      </w:r>
      <w:r>
        <w:rPr>
          <w:rFonts w:ascii="仿宋_GB2312" w:hAnsi="Calibri" w:cs="宋体"/>
          <w:szCs w:val="32"/>
        </w:rPr>
        <w:t>涉税信息共享工作动员暨信息联络员培训会议，安排涉税信息共享工作，对涉税信息单位信息</w:t>
      </w:r>
      <w:r>
        <w:rPr>
          <w:rFonts w:hint="eastAsia" w:ascii="仿宋_GB2312" w:hAnsi="Calibri" w:cs="宋体"/>
          <w:szCs w:val="32"/>
        </w:rPr>
        <w:t>联络</w:t>
      </w:r>
      <w:r>
        <w:rPr>
          <w:rFonts w:ascii="仿宋_GB2312" w:hAnsi="Calibri" w:cs="宋体"/>
          <w:szCs w:val="32"/>
        </w:rPr>
        <w:t>员进行</w:t>
      </w:r>
      <w:r>
        <w:rPr>
          <w:rFonts w:hint="eastAsia" w:ascii="仿宋_GB2312" w:hAnsi="Calibri" w:cs="宋体"/>
          <w:szCs w:val="32"/>
        </w:rPr>
        <w:t>平台操作</w:t>
      </w:r>
      <w:r>
        <w:rPr>
          <w:rFonts w:ascii="仿宋_GB2312" w:hAnsi="Calibri" w:cs="宋体"/>
          <w:szCs w:val="32"/>
        </w:rPr>
        <w:t>培训。</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（四）</w:t>
      </w:r>
      <w:r>
        <w:rPr>
          <w:rFonts w:hint="eastAsia" w:ascii="Times New Roman" w:hAnsi="Times New Roman" w:eastAsia="楷体_GB2312"/>
          <w:b w:val="0"/>
          <w:bCs w:val="0"/>
          <w:sz w:val="32"/>
          <w:szCs w:val="32"/>
        </w:rPr>
        <w:t>信息报送</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lang w:eastAsia="zh-CN"/>
        </w:rPr>
        <w:t>各</w:t>
      </w:r>
      <w:r>
        <w:rPr>
          <w:rFonts w:hint="eastAsia" w:ascii="仿宋_GB2312" w:hAnsi="Calibri" w:cs="宋体"/>
          <w:szCs w:val="32"/>
        </w:rPr>
        <w:t>成员</w:t>
      </w:r>
      <w:r>
        <w:rPr>
          <w:rFonts w:ascii="仿宋_GB2312" w:hAnsi="Calibri" w:cs="宋体"/>
          <w:szCs w:val="32"/>
        </w:rPr>
        <w:t>单位按照</w:t>
      </w:r>
      <w:r>
        <w:rPr>
          <w:rFonts w:hint="eastAsia" w:ascii="仿宋_GB2312" w:hAnsi="Calibri" w:cs="宋体"/>
          <w:szCs w:val="32"/>
        </w:rPr>
        <w:t>新郑市</w:t>
      </w:r>
      <w:r>
        <w:rPr>
          <w:rFonts w:ascii="仿宋_GB2312" w:hAnsi="Calibri" w:cs="宋体"/>
          <w:szCs w:val="32"/>
        </w:rPr>
        <w:t>涉税信息</w:t>
      </w:r>
      <w:r>
        <w:rPr>
          <w:rFonts w:hint="eastAsia" w:ascii="仿宋_GB2312" w:hAnsi="Calibri" w:cs="宋体"/>
          <w:szCs w:val="32"/>
        </w:rPr>
        <w:t>采集</w:t>
      </w:r>
      <w:r>
        <w:rPr>
          <w:rFonts w:ascii="仿宋_GB2312" w:hAnsi="Calibri" w:cs="宋体"/>
          <w:szCs w:val="32"/>
        </w:rPr>
        <w:t>目录（2023</w:t>
      </w:r>
      <w:r>
        <w:rPr>
          <w:rFonts w:hint="eastAsia" w:ascii="仿宋_GB2312" w:hAnsi="Calibri" w:cs="宋体"/>
          <w:szCs w:val="32"/>
        </w:rPr>
        <w:t>年</w:t>
      </w:r>
      <w:r>
        <w:rPr>
          <w:rFonts w:ascii="仿宋_GB2312" w:hAnsi="Calibri" w:cs="宋体"/>
          <w:szCs w:val="32"/>
        </w:rPr>
        <w:t>版）和信息数据模板要求报送本单位的涉税信息，</w:t>
      </w:r>
      <w:r>
        <w:rPr>
          <w:rFonts w:hint="eastAsia" w:ascii="仿宋_GB2312" w:hAnsi="Calibri" w:cs="宋体"/>
          <w:szCs w:val="32"/>
          <w:lang w:val="en-US" w:eastAsia="zh-CN"/>
        </w:rPr>
        <w:t>5</w:t>
      </w:r>
      <w:r>
        <w:rPr>
          <w:rFonts w:ascii="仿宋_GB2312" w:hAnsi="Calibri" w:cs="宋体"/>
          <w:szCs w:val="32"/>
        </w:rPr>
        <w:t>月</w:t>
      </w:r>
      <w:r>
        <w:rPr>
          <w:rFonts w:hint="eastAsia" w:ascii="仿宋_GB2312" w:hAnsi="Calibri" w:cs="宋体"/>
          <w:szCs w:val="32"/>
        </w:rPr>
        <w:t>31</w:t>
      </w:r>
      <w:r>
        <w:rPr>
          <w:rFonts w:ascii="仿宋_GB2312" w:hAnsi="Calibri" w:cs="宋体"/>
          <w:szCs w:val="32"/>
        </w:rPr>
        <w:t>日前完成2020年</w:t>
      </w:r>
      <w:r>
        <w:rPr>
          <w:rFonts w:hint="eastAsia" w:ascii="仿宋_GB2312" w:hAnsi="Calibri" w:cs="宋体"/>
          <w:szCs w:val="32"/>
        </w:rPr>
        <w:t>1月—</w:t>
      </w:r>
      <w:r>
        <w:rPr>
          <w:rFonts w:ascii="仿宋_GB2312" w:hAnsi="Calibri" w:cs="宋体"/>
          <w:szCs w:val="32"/>
        </w:rPr>
        <w:t>2023年12月的历史数据一次性导入工作，以后每月1</w:t>
      </w:r>
      <w:r>
        <w:rPr>
          <w:rFonts w:hint="eastAsia" w:ascii="仿宋_GB2312" w:hAnsi="Calibri" w:cs="宋体"/>
          <w:szCs w:val="32"/>
        </w:rPr>
        <w:t>0</w:t>
      </w:r>
      <w:r>
        <w:rPr>
          <w:rFonts w:ascii="仿宋_GB2312" w:hAnsi="Calibri" w:cs="宋体"/>
          <w:szCs w:val="32"/>
        </w:rPr>
        <w:t>日前向系统上传上月的相关数据，上月</w:t>
      </w:r>
      <w:r>
        <w:rPr>
          <w:rFonts w:hint="eastAsia" w:ascii="仿宋_GB2312" w:hAnsi="Calibri" w:cs="宋体"/>
          <w:szCs w:val="32"/>
        </w:rPr>
        <w:t>新增</w:t>
      </w:r>
      <w:r>
        <w:rPr>
          <w:rFonts w:ascii="仿宋_GB2312" w:hAnsi="Calibri" w:cs="宋体"/>
          <w:szCs w:val="32"/>
        </w:rPr>
        <w:t>数据为零的也要登录系统</w:t>
      </w:r>
      <w:r>
        <w:rPr>
          <w:rFonts w:hint="eastAsia" w:ascii="仿宋_GB2312" w:hAnsi="Calibri" w:cs="宋体"/>
          <w:szCs w:val="32"/>
        </w:rPr>
        <w:t>进行</w:t>
      </w:r>
      <w:r>
        <w:rPr>
          <w:rFonts w:ascii="仿宋_GB2312" w:hAnsi="Calibri" w:cs="宋体"/>
          <w:szCs w:val="32"/>
        </w:rPr>
        <w:t>空表报送</w:t>
      </w:r>
      <w:r>
        <w:rPr>
          <w:rFonts w:hint="eastAsia" w:ascii="仿宋_GB2312" w:hAnsi="Calibri" w:cs="宋体"/>
          <w:szCs w:val="32"/>
          <w:lang w:eastAsia="zh-CN"/>
        </w:rPr>
        <w:t>（</w:t>
      </w:r>
      <w:r>
        <w:rPr>
          <w:rFonts w:ascii="仿宋_GB2312" w:hAnsi="Calibri" w:cs="宋体"/>
          <w:szCs w:val="32"/>
        </w:rPr>
        <w:t>完成时限：</w:t>
      </w:r>
      <w:r>
        <w:rPr>
          <w:rFonts w:hint="eastAsia" w:ascii="仿宋_GB2312" w:hAnsi="Calibri" w:cs="宋体"/>
          <w:szCs w:val="32"/>
        </w:rPr>
        <w:t>202</w:t>
      </w:r>
      <w:r>
        <w:rPr>
          <w:rFonts w:ascii="仿宋_GB2312" w:hAnsi="Calibri" w:cs="宋体"/>
          <w:szCs w:val="32"/>
        </w:rPr>
        <w:t>4</w:t>
      </w:r>
      <w:r>
        <w:rPr>
          <w:rFonts w:hint="eastAsia" w:ascii="仿宋_GB2312" w:hAnsi="Calibri" w:cs="宋体"/>
          <w:szCs w:val="32"/>
        </w:rPr>
        <w:t>年</w:t>
      </w:r>
      <w:r>
        <w:rPr>
          <w:rFonts w:hint="eastAsia" w:ascii="仿宋_GB2312" w:hAnsi="Calibri" w:cs="宋体"/>
          <w:szCs w:val="32"/>
          <w:lang w:val="en-US" w:eastAsia="zh-CN"/>
        </w:rPr>
        <w:t>5月底前</w:t>
      </w:r>
      <w:r>
        <w:rPr>
          <w:rFonts w:hint="eastAsia" w:ascii="仿宋_GB2312" w:hAnsi="Calibri" w:cs="宋体"/>
          <w:szCs w:val="32"/>
          <w:lang w:eastAsia="zh-CN"/>
        </w:rPr>
        <w:t>）</w:t>
      </w:r>
      <w:r>
        <w:rPr>
          <w:rFonts w:ascii="仿宋_GB2312" w:hAnsi="Calibri" w:cs="宋体"/>
          <w:szCs w:val="32"/>
        </w:rPr>
        <w:t>。</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（五）</w:t>
      </w:r>
      <w:r>
        <w:rPr>
          <w:rFonts w:hint="eastAsia" w:ascii="Times New Roman" w:hAnsi="Times New Roman" w:eastAsia="楷体_GB2312"/>
          <w:b w:val="0"/>
          <w:bCs w:val="0"/>
          <w:sz w:val="32"/>
          <w:szCs w:val="32"/>
        </w:rPr>
        <w:t>系统上线</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hint="eastAsia" w:ascii="仿宋_GB2312" w:hAnsi="Calibri" w:cs="宋体"/>
          <w:szCs w:val="32"/>
        </w:rPr>
        <w:t>领导小组办公室</w:t>
      </w:r>
      <w:r>
        <w:rPr>
          <w:rFonts w:ascii="仿宋_GB2312" w:hAnsi="Calibri" w:cs="宋体"/>
          <w:szCs w:val="32"/>
        </w:rPr>
        <w:t>联合软件开发公司对涉税信息进行筛选、整理、审核和分析，全面完成</w:t>
      </w:r>
      <w:r>
        <w:rPr>
          <w:rFonts w:hint="eastAsia" w:ascii="仿宋_GB2312" w:hAnsi="Calibri" w:cs="宋体"/>
          <w:szCs w:val="32"/>
        </w:rPr>
        <w:t>财税综合信息平台的</w:t>
      </w:r>
      <w:r>
        <w:rPr>
          <w:rFonts w:ascii="仿宋_GB2312" w:hAnsi="Calibri" w:cs="宋体"/>
          <w:szCs w:val="32"/>
        </w:rPr>
        <w:t>调试及研发工作，并正式上线发挥作用</w:t>
      </w:r>
      <w:r>
        <w:rPr>
          <w:rFonts w:hint="eastAsia" w:ascii="仿宋_GB2312" w:hAnsi="Calibri" w:cs="宋体"/>
          <w:szCs w:val="32"/>
          <w:lang w:eastAsia="zh-CN"/>
        </w:rPr>
        <w:t>（</w:t>
      </w:r>
      <w:r>
        <w:rPr>
          <w:rFonts w:ascii="仿宋_GB2312" w:hAnsi="Calibri" w:cs="宋体"/>
          <w:szCs w:val="32"/>
        </w:rPr>
        <w:t>完成时限：</w:t>
      </w:r>
      <w:r>
        <w:rPr>
          <w:rFonts w:hint="eastAsia" w:ascii="仿宋_GB2312" w:hAnsi="Calibri" w:cs="宋体"/>
          <w:szCs w:val="32"/>
        </w:rPr>
        <w:t>202</w:t>
      </w:r>
      <w:r>
        <w:rPr>
          <w:rFonts w:ascii="仿宋_GB2312" w:hAnsi="Calibri" w:cs="宋体"/>
          <w:szCs w:val="32"/>
        </w:rPr>
        <w:t>4</w:t>
      </w:r>
      <w:r>
        <w:rPr>
          <w:rFonts w:hint="eastAsia" w:ascii="仿宋_GB2312" w:hAnsi="Calibri" w:cs="宋体"/>
          <w:szCs w:val="32"/>
        </w:rPr>
        <w:t>年</w:t>
      </w:r>
      <w:r>
        <w:rPr>
          <w:rFonts w:hint="eastAsia" w:ascii="仿宋_GB2312" w:hAnsi="Calibri" w:cs="宋体"/>
          <w:szCs w:val="32"/>
          <w:lang w:val="en-US" w:eastAsia="zh-CN"/>
        </w:rPr>
        <w:t>5月底前</w:t>
      </w:r>
      <w:r>
        <w:rPr>
          <w:rFonts w:hint="eastAsia" w:ascii="仿宋_GB2312" w:hAnsi="Calibri" w:cs="宋体"/>
          <w:szCs w:val="32"/>
          <w:lang w:eastAsia="zh-CN"/>
        </w:rPr>
        <w:t>）。</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仿宋_GB2312" w:hAnsi="Calibri" w:cs="宋体"/>
          <w:szCs w:val="32"/>
          <w:lang w:val="en-US" w:eastAsia="zh-CN"/>
        </w:rPr>
      </w:pPr>
      <w:r>
        <w:rPr>
          <w:rFonts w:eastAsia="黑体"/>
          <w:b w:val="0"/>
          <w:bCs w:val="0"/>
          <w:szCs w:val="32"/>
        </w:rPr>
        <w:t>四、</w:t>
      </w:r>
      <w:r>
        <w:rPr>
          <w:rFonts w:hint="eastAsia" w:eastAsia="黑体"/>
          <w:b w:val="0"/>
          <w:bCs w:val="0"/>
          <w:szCs w:val="32"/>
          <w:lang w:eastAsia="zh-CN"/>
        </w:rPr>
        <w:t>税费共治</w:t>
      </w:r>
      <w:r>
        <w:rPr>
          <w:rFonts w:hint="eastAsia" w:eastAsia="黑体"/>
          <w:b w:val="0"/>
          <w:bCs w:val="0"/>
          <w:szCs w:val="32"/>
          <w:lang w:val="en-US" w:eastAsia="zh-CN"/>
        </w:rPr>
        <w:t>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Calibri" w:cs="宋体"/>
          <w:szCs w:val="32"/>
          <w:lang w:val="en-US" w:eastAsia="zh-CN"/>
        </w:rPr>
      </w:pPr>
      <w:r>
        <w:rPr>
          <w:rFonts w:hint="eastAsia" w:ascii="仿宋_GB2312" w:hAnsi="Calibri" w:cs="宋体"/>
          <w:b w:val="0"/>
          <w:bCs w:val="0"/>
          <w:szCs w:val="32"/>
          <w:lang w:val="en-US" w:eastAsia="zh-CN"/>
        </w:rPr>
        <w:t>部门协作职责包括：</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仿宋_GB2312" w:hAnsi="Calibri" w:cs="宋体"/>
          <w:szCs w:val="32"/>
        </w:rPr>
      </w:pPr>
      <w:r>
        <w:rPr>
          <w:rFonts w:hint="eastAsia" w:ascii="仿宋_GB2312" w:hAnsi="Calibri" w:cs="宋体"/>
          <w:szCs w:val="32"/>
          <w:lang w:val="en-US" w:eastAsia="zh-CN"/>
        </w:rPr>
        <w:t>（一）大数据部门应当协助税务部门推进智慧税务建设，依法规范数据管理，实施相关税费数据集中，开展税费数据共享共用。</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（二）人社、医保部门应当与税务部门加强社保、医保信息共享，推进缴费方式改革，积极支持税务部门开展征收管理工作。</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三）公安、财政、商务和市场监管部门应当协助税务部门加强重点领域税收风险防控和监管，加强对隐瞒收入、虚列成本、转移利润、虚开骗税以及利用“税收洼地”“阴阳合同”和关联交易等逃避税行为的监督检查，完善预防性制度措施。</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（四）市场监管部门应当加强与税务部门的信息交换、联动执法、协同监管，协助税务部门加强对企业、个人办理股权变更、重组、破产登记环节的税收控管；办理企业注销登记时，应当查验企业税费清算证明。</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（五）商务、财政部门应当配合税务部门推动全国发票电子化改革。</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六）资源规划、住房保障和住建部门应当加强与税务部门的房产土地信息共享机制建设，加强房地产开发项目管理、房屋交易网签备案、不动产登记办税等方面的部门协作和信息共享，研究推广房地产交易税收一体化管理。</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（七）生态环境、住建、城管、农业农村和交通运输部门应当结合环境保护管理，与税务部门建立信息传递和复核反馈等相关工作协作机制，协助税务部门加强相关税收征管。</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（八）住建、住房保障部门应当为同级税务部门查询本地工程造价信息提供协助，在税务部门对房产扣押、查封、拍卖及开展房地产和建筑安装业税收管理时予以协助。</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（九）商务、大数据、市场监管、财政和税务部门应当持续完善加油站税控云平台建设，强化数据分析利用。</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（十）审计部门在审计中发现涉税涉费违法违规事项时，应当在法定职权范围内进行处理，将依法应当由税务部门处理的事项及时移送税务部门，并在工作中予以协助。</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（十一）金融部门应当协助税务部门，联合其他相关部门（单位）建立健全银税联席会议机制，促进“银税互动”积极健康发展。</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（十二）统计部门应当与税务部门加强税务统计标准与国家统计标准衔接。</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三）公安部门应当与税务部门健全完善联合办案机制和警税联合协作机制，定期召开警税联席会议，强化合署办公机制运转，持续加大科技化、信息化运用。依托税警协作平台，实现税务、公安部门涉税涉费案件信息互联互通，强化行政执法与刑事执法衔接。</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（十四）财政部门应当协助税务部门维护税费征收秩序，加强与税务部门联动，落实加强依法依规征税收费制度措施，规范税费行为。</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（十五）税务部门依法查询从事生产、经营的纳税人开立账户的情况时，有关银行和其他金融机构应当予以协助。</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（十六）人防、水利、林业和城管等部门应当与税务部门建立信息定期传递机制，及时向税务部门传递已划转非税收入项目的费源信息，协助做好各项非税收入的规范征缴工作。</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default" w:ascii="仿宋_GB2312" w:hAnsi="Calibri" w:cs="宋体"/>
          <w:szCs w:val="32"/>
        </w:rPr>
      </w:pPr>
      <w:r>
        <w:rPr>
          <w:rFonts w:hint="eastAsia" w:ascii="仿宋_GB2312" w:hAnsi="Calibri" w:cs="宋体"/>
          <w:szCs w:val="32"/>
          <w:lang w:val="en-US" w:eastAsia="zh-CN"/>
        </w:rPr>
        <w:t>（十七）税务部门依法对零星分散和异地缴纳的税收实行委托代征时，受托部门（单位）应当给予支持和协助。税务部门依法对受托部门（单位）代征行为进行指导、管理和监督，并及时支付委托代征手续费。受托部门（单位）应当按照委托代征税款协议书的规定，依法代征税款，不得擅自不征、少征或多征税款，不得挤占、挪用或延迟解缴税款。</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仿宋_GB2312" w:hAnsi="Calibri" w:cs="宋体"/>
          <w:b w:val="0"/>
          <w:bCs w:val="0"/>
          <w:szCs w:val="32"/>
        </w:rPr>
      </w:pPr>
      <w:r>
        <w:rPr>
          <w:rFonts w:hint="eastAsia" w:ascii="仿宋_GB2312" w:hAnsi="Calibri" w:cs="宋体"/>
          <w:b w:val="0"/>
          <w:bCs w:val="0"/>
          <w:szCs w:val="32"/>
          <w:lang w:val="en-US" w:eastAsia="zh-CN"/>
        </w:rPr>
        <w:t>司法保障职责包括：</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仿宋_GB2312" w:hAnsi="Calibri" w:cs="宋体"/>
          <w:szCs w:val="32"/>
        </w:rPr>
      </w:pPr>
      <w:r>
        <w:rPr>
          <w:rFonts w:hint="eastAsia" w:ascii="仿宋_GB2312" w:hAnsi="Calibri" w:cs="宋体"/>
          <w:szCs w:val="32"/>
          <w:lang w:val="en-US" w:eastAsia="zh-CN"/>
        </w:rPr>
        <w:t>（一）检察院应当加强与税务、公安部门的联系沟通，充分运用行政执法和刑事司法两法衔接平台，畅通信息渠道，发现负有税费监管相关职责的行政机关不依法履责的，应依法提出检察建议；在办理涉税涉费案件过程中，开展涉案企业合规改革，规范企业税费管理，积极参与社会治理，优化营商环境。</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eastAsia="黑体"/>
          <w:b w:val="0"/>
          <w:bCs w:val="0"/>
          <w:szCs w:val="32"/>
          <w:lang w:eastAsia="zh-CN"/>
        </w:rPr>
      </w:pPr>
      <w:r>
        <w:rPr>
          <w:rFonts w:hint="eastAsia" w:ascii="仿宋_GB2312" w:hAnsi="Calibri" w:cs="宋体"/>
          <w:szCs w:val="32"/>
          <w:lang w:val="en-US" w:eastAsia="zh-CN"/>
        </w:rPr>
        <w:t>（二）法院应当与税务部门建立强制执行与税费征缴协同机制和破产企业涉税涉费问题协同处理机制，在拍卖、变卖、清算被执行人财产时，应当及时通知税务部门参加，保障国家税费收入及时入库，依法维护国家税收利益。</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eastAsia="黑体"/>
          <w:b w:val="0"/>
          <w:bCs w:val="0"/>
          <w:szCs w:val="32"/>
        </w:rPr>
      </w:pPr>
      <w:r>
        <w:rPr>
          <w:rFonts w:hint="eastAsia" w:eastAsia="黑体"/>
          <w:b w:val="0"/>
          <w:bCs w:val="0"/>
          <w:szCs w:val="32"/>
          <w:lang w:eastAsia="zh-CN"/>
        </w:rPr>
        <w:t>五、</w:t>
      </w:r>
      <w:r>
        <w:rPr>
          <w:rFonts w:eastAsia="黑体"/>
          <w:b w:val="0"/>
          <w:bCs w:val="0"/>
          <w:szCs w:val="32"/>
        </w:rPr>
        <w:t>保障措施</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ascii="Times New Roman" w:hAnsi="Times New Roman" w:eastAsia="楷体_GB2312"/>
          <w:b w:val="0"/>
          <w:bCs w:val="0"/>
          <w:sz w:val="32"/>
          <w:szCs w:val="32"/>
        </w:rPr>
        <w:t>（一）加强组织领导</w:t>
      </w: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各有关部门要充分认识此项工作的重要意义</w:t>
      </w:r>
      <w:r>
        <w:rPr>
          <w:rFonts w:hint="eastAsia" w:ascii="仿宋_GB2312" w:hAnsi="Calibri" w:cs="宋体"/>
          <w:szCs w:val="32"/>
        </w:rPr>
        <w:t>，</w:t>
      </w:r>
      <w:r>
        <w:rPr>
          <w:rFonts w:ascii="仿宋_GB2312" w:hAnsi="Calibri" w:cs="宋体"/>
          <w:szCs w:val="32"/>
        </w:rPr>
        <w:t>采取切实有效措施</w:t>
      </w:r>
      <w:r>
        <w:rPr>
          <w:rFonts w:hint="eastAsia" w:ascii="仿宋_GB2312" w:hAnsi="Calibri" w:cs="宋体"/>
          <w:szCs w:val="32"/>
        </w:rPr>
        <w:t>，</w:t>
      </w:r>
      <w:r>
        <w:rPr>
          <w:rFonts w:ascii="仿宋_GB2312" w:hAnsi="Calibri" w:cs="宋体"/>
          <w:szCs w:val="32"/>
        </w:rPr>
        <w:t>确保工作落实。</w:t>
      </w:r>
      <w:r>
        <w:rPr>
          <w:rFonts w:hint="eastAsia" w:ascii="仿宋_GB2312" w:hAnsi="Calibri" w:cs="宋体"/>
          <w:szCs w:val="32"/>
          <w:lang w:eastAsia="zh-CN"/>
        </w:rPr>
        <w:t>各</w:t>
      </w:r>
      <w:r>
        <w:rPr>
          <w:rFonts w:ascii="仿宋_GB2312" w:hAnsi="Calibri" w:cs="宋体"/>
          <w:szCs w:val="32"/>
        </w:rPr>
        <w:t>成员单位要明确分管领导为本单位</w:t>
      </w:r>
      <w:r>
        <w:rPr>
          <w:rFonts w:hint="eastAsia" w:ascii="仿宋_GB2312" w:hAnsi="Calibri" w:cs="宋体"/>
          <w:szCs w:val="32"/>
        </w:rPr>
        <w:t>税费共治</w:t>
      </w:r>
      <w:r>
        <w:rPr>
          <w:rFonts w:ascii="仿宋_GB2312" w:hAnsi="Calibri" w:cs="宋体"/>
          <w:szCs w:val="32"/>
        </w:rPr>
        <w:t>工作负责人，并指定</w:t>
      </w:r>
      <w:r>
        <w:rPr>
          <w:rFonts w:hint="eastAsia" w:ascii="仿宋_GB2312" w:hAnsi="Calibri" w:cs="宋体"/>
          <w:szCs w:val="32"/>
          <w:lang w:eastAsia="zh-CN"/>
        </w:rPr>
        <w:t>一名联络人</w:t>
      </w:r>
      <w:r>
        <w:rPr>
          <w:rFonts w:ascii="仿宋_GB2312" w:hAnsi="Calibri" w:cs="宋体"/>
          <w:szCs w:val="32"/>
        </w:rPr>
        <w:t>具体负责信息采集及</w:t>
      </w:r>
      <w:r>
        <w:rPr>
          <w:rFonts w:hint="eastAsia" w:ascii="仿宋_GB2312" w:hAnsi="Calibri" w:cs="宋体"/>
          <w:szCs w:val="32"/>
        </w:rPr>
        <w:t>报送</w:t>
      </w:r>
      <w:r>
        <w:rPr>
          <w:rFonts w:ascii="仿宋_GB2312" w:hAnsi="Calibri" w:cs="宋体"/>
          <w:szCs w:val="32"/>
        </w:rPr>
        <w:t>工作。</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（二）</w:t>
      </w:r>
      <w:r>
        <w:rPr>
          <w:rFonts w:hint="eastAsia" w:ascii="Times New Roman" w:hAnsi="Times New Roman" w:eastAsia="楷体_GB2312"/>
          <w:b w:val="0"/>
          <w:bCs w:val="0"/>
          <w:sz w:val="32"/>
          <w:szCs w:val="32"/>
        </w:rPr>
        <w:t>明确工作责任</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财政部门要充分履行牵头部门职责，</w:t>
      </w:r>
      <w:r>
        <w:rPr>
          <w:rFonts w:hint="eastAsia" w:ascii="仿宋_GB2312" w:hAnsi="Calibri" w:cs="宋体"/>
          <w:szCs w:val="32"/>
        </w:rPr>
        <w:t>领导小组办公室</w:t>
      </w:r>
      <w:r>
        <w:rPr>
          <w:rFonts w:ascii="仿宋_GB2312" w:hAnsi="Calibri" w:cs="宋体"/>
          <w:szCs w:val="32"/>
        </w:rPr>
        <w:t>组织协调各成员单位共同开展工作；要把</w:t>
      </w:r>
      <w:r>
        <w:rPr>
          <w:rFonts w:hint="eastAsia" w:ascii="仿宋_GB2312" w:hAnsi="Calibri" w:cs="宋体"/>
          <w:szCs w:val="32"/>
        </w:rPr>
        <w:t>税费共治</w:t>
      </w:r>
      <w:r>
        <w:rPr>
          <w:rFonts w:ascii="仿宋_GB2312" w:hAnsi="Calibri" w:cs="宋体"/>
          <w:szCs w:val="32"/>
        </w:rPr>
        <w:t>所需经费纳入预算</w:t>
      </w:r>
      <w:r>
        <w:rPr>
          <w:rFonts w:hint="eastAsia" w:ascii="仿宋_GB2312" w:hAnsi="Calibri" w:cs="宋体"/>
          <w:szCs w:val="32"/>
          <w:lang w:eastAsia="zh-CN"/>
        </w:rPr>
        <w:t>管理</w:t>
      </w:r>
      <w:r>
        <w:rPr>
          <w:rFonts w:ascii="仿宋_GB2312" w:hAnsi="Calibri" w:cs="宋体"/>
          <w:szCs w:val="32"/>
        </w:rPr>
        <w:t>，为工作顺利开展提供保障</w:t>
      </w:r>
      <w:r>
        <w:rPr>
          <w:rFonts w:hint="eastAsia" w:ascii="仿宋_GB2312" w:hAnsi="Calibri" w:cs="宋体"/>
          <w:szCs w:val="32"/>
          <w:lang w:eastAsia="zh-CN"/>
        </w:rPr>
        <w:t>。</w:t>
      </w:r>
      <w:r>
        <w:rPr>
          <w:rFonts w:ascii="仿宋_GB2312" w:hAnsi="Calibri" w:cs="宋体"/>
          <w:szCs w:val="32"/>
        </w:rPr>
        <w:t>税务机关要加大涉税信息的综合利用和疑点信息的查证落实力度，完善税收征管长效机制。其他成员单位要完善内部工作制度，及时报送本单位涉税信息并加强共享信息的管理使用。</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hint="eastAsia" w:ascii="Times New Roman" w:hAnsi="Times New Roman" w:eastAsia="楷体_GB2312"/>
          <w:b w:val="0"/>
          <w:bCs w:val="0"/>
          <w:sz w:val="32"/>
          <w:szCs w:val="32"/>
        </w:rPr>
      </w:pPr>
      <w:r>
        <w:rPr>
          <w:rFonts w:hint="eastAsia" w:eastAsia="楷体_GB2312"/>
          <w:b w:val="0"/>
          <w:bCs w:val="0"/>
          <w:sz w:val="32"/>
          <w:szCs w:val="32"/>
          <w:lang w:eastAsia="zh-CN"/>
        </w:rPr>
        <w:t>（三）</w:t>
      </w:r>
      <w:r>
        <w:rPr>
          <w:rFonts w:hint="eastAsia" w:ascii="Times New Roman" w:hAnsi="Times New Roman" w:eastAsia="楷体_GB2312"/>
          <w:b w:val="0"/>
          <w:bCs w:val="0"/>
          <w:sz w:val="32"/>
          <w:szCs w:val="32"/>
        </w:rPr>
        <w:t>加强引导宣传</w:t>
      </w:r>
    </w:p>
    <w:p>
      <w:pPr>
        <w:keepNext w:val="0"/>
        <w:keepLines w:val="0"/>
        <w:pageBreakBefore w:val="0"/>
        <w:widowControl w:val="0"/>
        <w:numPr>
          <w:ilvl w:val="0"/>
          <w:numId w:val="0"/>
        </w:numPr>
        <w:kinsoku/>
        <w:wordWrap/>
        <w:overflowPunct/>
        <w:topLinePunct w:val="0"/>
        <w:bidi w:val="0"/>
        <w:adjustRightInd/>
        <w:snapToGrid/>
        <w:spacing w:line="570" w:lineRule="exact"/>
        <w:ind w:right="0" w:rightChars="0" w:firstLine="640" w:firstLineChars="200"/>
        <w:jc w:val="both"/>
        <w:textAlignment w:val="auto"/>
        <w:outlineLvl w:val="9"/>
        <w:rPr>
          <w:rFonts w:ascii="仿宋_GB2312" w:hAnsi="Calibri" w:cs="宋体"/>
          <w:szCs w:val="32"/>
        </w:rPr>
      </w:pPr>
      <w:r>
        <w:rPr>
          <w:rFonts w:ascii="仿宋_GB2312" w:hAnsi="Calibri" w:cs="宋体"/>
          <w:szCs w:val="32"/>
        </w:rPr>
        <w:t>要充分利用广播、电视、网站等多种渠道，加大对运用</w:t>
      </w:r>
      <w:r>
        <w:rPr>
          <w:rFonts w:hint="eastAsia" w:ascii="仿宋_GB2312" w:hAnsi="Calibri" w:cs="宋体"/>
          <w:szCs w:val="32"/>
        </w:rPr>
        <w:t>财税综合信息平台</w:t>
      </w:r>
      <w:r>
        <w:rPr>
          <w:rFonts w:ascii="仿宋_GB2312" w:hAnsi="Calibri" w:cs="宋体"/>
          <w:szCs w:val="32"/>
        </w:rPr>
        <w:t>开展</w:t>
      </w:r>
      <w:r>
        <w:rPr>
          <w:rFonts w:hint="eastAsia" w:ascii="仿宋_GB2312" w:hAnsi="Calibri" w:cs="宋体"/>
          <w:szCs w:val="32"/>
        </w:rPr>
        <w:t>税费共治工作</w:t>
      </w:r>
      <w:r>
        <w:rPr>
          <w:rFonts w:ascii="仿宋_GB2312" w:hAnsi="Calibri" w:cs="宋体"/>
          <w:szCs w:val="32"/>
        </w:rPr>
        <w:t>的宣传力度，定期向社会通报</w:t>
      </w:r>
      <w:r>
        <w:rPr>
          <w:rFonts w:hint="eastAsia" w:ascii="仿宋_GB2312" w:hAnsi="Calibri" w:cs="宋体"/>
          <w:szCs w:val="32"/>
        </w:rPr>
        <w:t>税费共治</w:t>
      </w:r>
      <w:r>
        <w:rPr>
          <w:rFonts w:ascii="仿宋_GB2312" w:hAnsi="Calibri" w:cs="宋体"/>
          <w:szCs w:val="32"/>
        </w:rPr>
        <w:t>工作情况，营造全社会理解和支持</w:t>
      </w:r>
      <w:r>
        <w:rPr>
          <w:rFonts w:hint="eastAsia" w:ascii="仿宋_GB2312" w:hAnsi="Calibri" w:cs="宋体"/>
          <w:szCs w:val="32"/>
        </w:rPr>
        <w:t>税费共治</w:t>
      </w:r>
      <w:r>
        <w:rPr>
          <w:rFonts w:ascii="仿宋_GB2312" w:hAnsi="Calibri" w:cs="宋体"/>
          <w:szCs w:val="32"/>
        </w:rPr>
        <w:t>工作的良好氛围。</w:t>
      </w:r>
    </w:p>
    <w:p>
      <w:pPr>
        <w:keepNext w:val="0"/>
        <w:keepLines w:val="0"/>
        <w:pageBreakBefore w:val="0"/>
        <w:widowControl w:val="0"/>
        <w:kinsoku/>
        <w:wordWrap/>
        <w:overflowPunct/>
        <w:topLinePunct w:val="0"/>
        <w:bidi w:val="0"/>
        <w:adjustRightInd/>
        <w:snapToGrid/>
        <w:spacing w:line="570" w:lineRule="exact"/>
        <w:ind w:right="0" w:rightChars="0"/>
        <w:jc w:val="both"/>
        <w:textAlignment w:val="auto"/>
        <w:outlineLvl w:val="9"/>
        <w:rPr>
          <w:rFonts w:hint="eastAsia"/>
          <w:lang w:eastAsia="zh-CN"/>
        </w:rPr>
      </w:pPr>
    </w:p>
    <w:p>
      <w:pPr>
        <w:keepNext w:val="0"/>
        <w:keepLines w:val="0"/>
        <w:pageBreakBefore w:val="0"/>
        <w:widowControl w:val="0"/>
        <w:kinsoku/>
        <w:wordWrap/>
        <w:overflowPunct/>
        <w:topLinePunct w:val="0"/>
        <w:bidi w:val="0"/>
        <w:adjustRightInd/>
        <w:snapToGrid/>
        <w:spacing w:line="570" w:lineRule="exact"/>
        <w:ind w:right="0" w:rightChars="0" w:firstLine="640" w:firstLineChars="200"/>
        <w:jc w:val="both"/>
        <w:textAlignment w:val="auto"/>
        <w:outlineLvl w:val="9"/>
        <w:rPr>
          <w:rFonts w:hint="eastAsia" w:ascii="仿宋_GB2312" w:hAnsi="Calibri" w:cs="宋体"/>
          <w:szCs w:val="32"/>
          <w:lang w:val="en-US" w:eastAsia="zh-CN"/>
        </w:rPr>
      </w:pPr>
      <w:r>
        <w:rPr>
          <w:rFonts w:hint="eastAsia" w:ascii="仿宋_GB2312" w:hAnsi="Calibri" w:cs="宋体"/>
          <w:szCs w:val="32"/>
          <w:lang w:val="en-US" w:eastAsia="zh-CN"/>
        </w:rPr>
        <w:t>附件：新郑市税费共治领导小组成员名单</w:t>
      </w:r>
    </w:p>
    <w:p>
      <w:pPr>
        <w:keepNext w:val="0"/>
        <w:keepLines w:val="0"/>
        <w:pageBreakBefore w:val="0"/>
        <w:kinsoku/>
        <w:wordWrap/>
        <w:overflowPunct/>
        <w:topLinePunct w:val="0"/>
        <w:bidi w:val="0"/>
        <w:adjustRightInd/>
        <w:snapToGrid/>
        <w:spacing w:line="560" w:lineRule="exact"/>
        <w:textAlignment w:val="auto"/>
        <w:rPr>
          <w:rFonts w:ascii="仿宋_GB2312" w:hAnsi="Calibri" w:cs="宋体"/>
          <w:szCs w:val="32"/>
        </w:rPr>
      </w:pPr>
    </w:p>
    <w:p>
      <w:pPr>
        <w:keepNext w:val="0"/>
        <w:keepLines w:val="0"/>
        <w:pageBreakBefore w:val="0"/>
        <w:widowControl/>
        <w:shd w:val="clear" w:color="auto" w:fill="FFFFFF"/>
        <w:kinsoku/>
        <w:wordWrap/>
        <w:overflowPunct/>
        <w:topLinePunct w:val="0"/>
        <w:bidi w:val="0"/>
        <w:adjustRightInd/>
        <w:snapToGrid/>
        <w:spacing w:line="560" w:lineRule="exact"/>
        <w:jc w:val="left"/>
        <w:textAlignment w:val="auto"/>
        <w:rPr>
          <w:rFonts w:hint="eastAsia" w:ascii="黑体" w:hAnsi="黑体" w:eastAsia="黑体" w:cs="黑体"/>
          <w:b w:val="0"/>
          <w:bCs w:val="0"/>
          <w:color w:val="000000"/>
          <w:kern w:val="0"/>
          <w:sz w:val="32"/>
          <w:szCs w:val="32"/>
        </w:rPr>
      </w:pPr>
    </w:p>
    <w:p>
      <w:pPr>
        <w:keepNext w:val="0"/>
        <w:keepLines w:val="0"/>
        <w:pageBreakBefore w:val="0"/>
        <w:widowControl/>
        <w:shd w:val="clear" w:color="auto" w:fill="FFFFFF"/>
        <w:kinsoku/>
        <w:wordWrap/>
        <w:overflowPunct/>
        <w:topLinePunct w:val="0"/>
        <w:bidi w:val="0"/>
        <w:adjustRightInd/>
        <w:snapToGrid/>
        <w:spacing w:line="560" w:lineRule="exact"/>
        <w:jc w:val="left"/>
        <w:textAlignment w:val="auto"/>
        <w:rPr>
          <w:rFonts w:hint="eastAsia" w:ascii="黑体" w:hAnsi="黑体" w:eastAsia="黑体" w:cs="黑体"/>
          <w:b w:val="0"/>
          <w:bCs w:val="0"/>
          <w:color w:val="000000"/>
          <w:kern w:val="0"/>
          <w:sz w:val="32"/>
          <w:szCs w:val="32"/>
        </w:rPr>
      </w:pPr>
    </w:p>
    <w:p>
      <w:pPr>
        <w:keepNext w:val="0"/>
        <w:keepLines w:val="0"/>
        <w:pageBreakBefore w:val="0"/>
        <w:widowControl/>
        <w:shd w:val="clear" w:color="auto" w:fill="FFFFFF"/>
        <w:kinsoku/>
        <w:wordWrap/>
        <w:overflowPunct/>
        <w:topLinePunct w:val="0"/>
        <w:bidi w:val="0"/>
        <w:adjustRightInd/>
        <w:snapToGrid/>
        <w:spacing w:line="560" w:lineRule="exact"/>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br w:type="page"/>
      </w:r>
    </w:p>
    <w:p>
      <w:pPr>
        <w:keepNext w:val="0"/>
        <w:keepLines w:val="0"/>
        <w:pageBreakBefore w:val="0"/>
        <w:widowControl/>
        <w:shd w:val="clear" w:color="auto" w:fill="FFFFFF"/>
        <w:kinsoku/>
        <w:wordWrap/>
        <w:overflowPunct/>
        <w:topLinePunct w:val="0"/>
        <w:bidi w:val="0"/>
        <w:adjustRightInd/>
        <w:snapToGrid/>
        <w:spacing w:line="560" w:lineRule="exact"/>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　件</w:t>
      </w:r>
    </w:p>
    <w:p>
      <w:pPr>
        <w:keepNext w:val="0"/>
        <w:keepLines w:val="0"/>
        <w:pageBreakBefore w:val="0"/>
        <w:widowControl/>
        <w:shd w:val="clear" w:color="auto" w:fill="FFFFFF"/>
        <w:kinsoku/>
        <w:wordWrap/>
        <w:overflowPunct/>
        <w:topLinePunct w:val="0"/>
        <w:bidi w:val="0"/>
        <w:adjustRightInd/>
        <w:snapToGrid/>
        <w:spacing w:line="560" w:lineRule="exact"/>
        <w:ind w:firstLine="480"/>
        <w:jc w:val="left"/>
        <w:textAlignment w:val="auto"/>
        <w:rPr>
          <w:rFonts w:ascii="宋体" w:hAnsi="宋体" w:eastAsia="宋体" w:cs="宋体"/>
          <w:color w:val="000000"/>
          <w:kern w:val="0"/>
          <w:sz w:val="27"/>
          <w:szCs w:val="27"/>
        </w:rPr>
      </w:pPr>
    </w:p>
    <w:p>
      <w:pPr>
        <w:keepNext w:val="0"/>
        <w:keepLines w:val="0"/>
        <w:pageBreakBefore w:val="0"/>
        <w:widowControl/>
        <w:shd w:val="clear" w:color="auto" w:fill="FFFFFF"/>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新郑市税费共治领导小组成员名单</w:t>
      </w:r>
    </w:p>
    <w:p>
      <w:pPr>
        <w:keepNext w:val="0"/>
        <w:keepLines w:val="0"/>
        <w:pageBreakBefore w:val="0"/>
        <w:widowControl/>
        <w:shd w:val="clear" w:color="auto" w:fill="FFFFFF"/>
        <w:kinsoku/>
        <w:wordWrap/>
        <w:overflowPunct/>
        <w:topLinePunct w:val="0"/>
        <w:bidi w:val="0"/>
        <w:adjustRightInd/>
        <w:snapToGrid/>
        <w:spacing w:line="560" w:lineRule="exact"/>
        <w:ind w:firstLine="480"/>
        <w:jc w:val="left"/>
        <w:textAlignment w:val="auto"/>
        <w:rPr>
          <w:rFonts w:ascii="宋体" w:hAnsi="宋体" w:eastAsia="宋体" w:cs="宋体"/>
          <w:color w:val="000000"/>
          <w:kern w:val="0"/>
          <w:sz w:val="27"/>
          <w:szCs w:val="27"/>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为进一步提升税费征收效率和财税管理水平，强化部门协同配合，促进涉税涉费信息资源科学配置和有效利用，经市政府研究，原新郑市综合治税领导小组调整为</w:t>
      </w:r>
      <w:r>
        <w:rPr>
          <w:rFonts w:hint="eastAsia" w:ascii="仿宋_GB2312" w:hAnsi="Calibri" w:cs="宋体"/>
          <w:color w:val="000000" w:themeColor="text1"/>
          <w:szCs w:val="32"/>
          <w:lang w:val="en-US" w:eastAsia="zh-CN"/>
          <w14:textFill>
            <w14:solidFill>
              <w14:schemeClr w14:val="tx1"/>
            </w14:solidFill>
          </w14:textFill>
        </w:rPr>
        <w:t>新郑市税费共治领导小组</w:t>
      </w:r>
      <w:r>
        <w:rPr>
          <w:rFonts w:hint="eastAsia" w:ascii="仿宋_GB2312" w:hAnsi="Calibri" w:cs="宋体"/>
          <w:szCs w:val="32"/>
          <w:lang w:val="en-US" w:eastAsia="zh-CN"/>
        </w:rPr>
        <w:t>。现将调整后的领导小组成员名单明确如下：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cs="宋体"/>
          <w:color w:val="auto"/>
          <w:szCs w:val="32"/>
          <w:lang w:val="en-US" w:eastAsia="zh-CN"/>
        </w:rPr>
      </w:pPr>
      <w:r>
        <w:rPr>
          <w:rFonts w:hint="eastAsia" w:ascii="仿宋_GB2312" w:hAnsi="Calibri" w:cs="宋体"/>
          <w:b w:val="0"/>
          <w:bCs w:val="0"/>
          <w:szCs w:val="32"/>
          <w:lang w:val="en-US" w:eastAsia="zh-CN"/>
        </w:rPr>
        <w:t>组　长：</w:t>
      </w:r>
      <w:r>
        <w:rPr>
          <w:rFonts w:hint="eastAsia" w:ascii="仿宋_GB2312" w:hAnsi="Calibri" w:cs="宋体"/>
          <w:szCs w:val="32"/>
          <w:lang w:val="en-US" w:eastAsia="zh-CN"/>
        </w:rPr>
        <w:t>张佳涛  市委常委</w:t>
      </w:r>
      <w:r>
        <w:rPr>
          <w:rFonts w:hint="eastAsia" w:ascii="仿宋_GB2312" w:hAnsi="Calibri" w:cs="宋体"/>
          <w:color w:val="auto"/>
          <w:szCs w:val="32"/>
          <w:lang w:val="en-US" w:eastAsia="zh-CN"/>
        </w:rPr>
        <w:t>、常务副市长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cs="宋体"/>
          <w:color w:val="auto"/>
          <w:szCs w:val="32"/>
          <w:lang w:val="en-US" w:eastAsia="zh-CN"/>
        </w:rPr>
      </w:pPr>
      <w:r>
        <w:rPr>
          <w:rFonts w:hint="eastAsia" w:ascii="仿宋_GB2312" w:hAnsi="Calibri" w:cs="宋体"/>
          <w:b w:val="0"/>
          <w:bCs w:val="0"/>
          <w:color w:val="auto"/>
          <w:szCs w:val="32"/>
          <w:lang w:val="en-US" w:eastAsia="zh-CN"/>
        </w:rPr>
        <w:t>副组长：</w:t>
      </w:r>
      <w:r>
        <w:rPr>
          <w:rFonts w:hint="eastAsia" w:ascii="仿宋_GB2312" w:hAnsi="Calibri" w:cs="宋体"/>
          <w:color w:val="auto"/>
          <w:szCs w:val="32"/>
          <w:lang w:val="en-US" w:eastAsia="zh-CN"/>
        </w:rPr>
        <w:t>郭伟酬  市财政局局长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78" w:firstLineChars="587"/>
        <w:jc w:val="both"/>
        <w:textAlignment w:val="auto"/>
        <w:rPr>
          <w:rFonts w:hint="eastAsia" w:ascii="仿宋_GB2312" w:hAnsi="Calibri" w:cs="宋体"/>
          <w:b w:val="0"/>
          <w:bCs w:val="0"/>
          <w:color w:val="auto"/>
          <w:szCs w:val="32"/>
          <w:lang w:val="en-US" w:eastAsia="zh-CN"/>
        </w:rPr>
      </w:pPr>
      <w:r>
        <w:rPr>
          <w:rFonts w:hint="eastAsia" w:ascii="仿宋_GB2312" w:hAnsi="Calibri" w:cs="宋体"/>
          <w:b w:val="0"/>
          <w:bCs w:val="0"/>
          <w:color w:val="auto"/>
          <w:szCs w:val="32"/>
          <w:lang w:val="en-US" w:eastAsia="zh-CN"/>
        </w:rPr>
        <w:t>袁红伟  市税务局局长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78" w:firstLineChars="587"/>
        <w:jc w:val="both"/>
        <w:textAlignment w:val="auto"/>
        <w:rPr>
          <w:rFonts w:hint="eastAsia" w:ascii="仿宋_GB2312" w:hAnsi="Calibri" w:cs="宋体"/>
          <w:color w:val="auto"/>
          <w:szCs w:val="32"/>
          <w:lang w:val="en-US" w:eastAsia="zh-CN"/>
        </w:rPr>
      </w:pPr>
      <w:r>
        <w:rPr>
          <w:rFonts w:hint="eastAsia" w:ascii="仿宋_GB2312" w:hAnsi="Calibri" w:cs="宋体"/>
          <w:color w:val="auto"/>
          <w:szCs w:val="32"/>
          <w:lang w:val="en-US" w:eastAsia="zh-CN"/>
        </w:rPr>
        <w:t>刘宗伟  市督查局局长</w:t>
      </w:r>
    </w:p>
    <w:p>
      <w:pPr>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eastAsia"/>
          <w:lang w:val="en-US" w:eastAsia="zh-CN"/>
        </w:rPr>
      </w:pPr>
      <w:r>
        <w:rPr>
          <w:rFonts w:hint="eastAsia" w:ascii="仿宋_GB2312" w:hAnsi="Calibri" w:cs="宋体"/>
          <w:b w:val="0"/>
          <w:bCs w:val="0"/>
          <w:color w:val="auto"/>
          <w:szCs w:val="32"/>
          <w:lang w:val="en-US" w:eastAsia="zh-CN"/>
        </w:rPr>
        <w:t>成　员：</w:t>
      </w:r>
      <w:r>
        <w:rPr>
          <w:rFonts w:hint="eastAsia" w:ascii="仿宋_GB2312" w:hAnsi="Calibri" w:cs="宋体"/>
          <w:szCs w:val="32"/>
          <w:lang w:val="en-US" w:eastAsia="zh-CN"/>
        </w:rPr>
        <w:t xml:space="preserve">李  杨  </w:t>
      </w:r>
      <w:r>
        <w:rPr>
          <w:rFonts w:hint="eastAsia" w:ascii="仿宋_GB2312" w:hAnsi="Calibri" w:cs="宋体"/>
          <w:color w:val="auto"/>
          <w:szCs w:val="32"/>
          <w:lang w:val="en-US" w:eastAsia="zh-CN"/>
        </w:rPr>
        <w:t>市政府办公室副主任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ascii="仿宋_GB2312" w:hAnsi="Calibri" w:cs="宋体"/>
          <w:color w:val="auto"/>
          <w:szCs w:val="32"/>
          <w:lang w:val="en-US" w:eastAsia="zh-CN"/>
        </w:rPr>
      </w:pPr>
      <w:r>
        <w:rPr>
          <w:rFonts w:hint="eastAsia" w:ascii="仿宋_GB2312" w:hAnsi="Calibri" w:cs="宋体"/>
          <w:color w:val="auto"/>
          <w:szCs w:val="32"/>
          <w:lang w:val="en-US" w:eastAsia="zh-CN"/>
        </w:rPr>
        <w:t>丁  浩  市财政局副局长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color w:val="auto"/>
          <w:lang w:val="en-US" w:eastAsia="zh-CN"/>
        </w:rPr>
      </w:pPr>
      <w:r>
        <w:rPr>
          <w:rFonts w:hint="eastAsia" w:ascii="仿宋_GB2312" w:hAnsi="Calibri" w:cs="宋体"/>
          <w:color w:val="auto"/>
          <w:szCs w:val="32"/>
          <w:lang w:val="en-US" w:eastAsia="zh-CN"/>
        </w:rPr>
        <w:t>张  媛  市税务局副局长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ascii="仿宋_GB2312" w:hAnsi="Calibri" w:cs="宋体"/>
          <w:color w:val="auto"/>
          <w:szCs w:val="32"/>
          <w:lang w:val="en-US" w:eastAsia="zh-CN"/>
        </w:rPr>
      </w:pPr>
      <w:r>
        <w:rPr>
          <w:rFonts w:hint="eastAsia" w:ascii="仿宋_GB2312" w:hAnsi="Calibri" w:cs="宋体"/>
          <w:color w:val="auto"/>
          <w:szCs w:val="32"/>
          <w:lang w:val="en-US" w:eastAsia="zh-CN"/>
        </w:rPr>
        <w:t>夏春丽  市审计局副局长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ascii="仿宋_GB2312" w:hAnsi="Calibri" w:cs="宋体"/>
          <w:color w:val="auto"/>
          <w:szCs w:val="32"/>
          <w:lang w:val="en-US" w:eastAsia="zh-CN"/>
        </w:rPr>
      </w:pPr>
      <w:r>
        <w:rPr>
          <w:rFonts w:hint="eastAsia" w:ascii="仿宋_GB2312" w:hAnsi="Calibri" w:cs="宋体"/>
          <w:color w:val="auto"/>
          <w:szCs w:val="32"/>
          <w:lang w:val="en-US" w:eastAsia="zh-CN"/>
        </w:rPr>
        <w:t>唐雅光  市发展改革委副主任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eastAsia="仿宋_GB2312" w:cs="宋体"/>
          <w:b w:val="0"/>
          <w:color w:val="auto"/>
          <w:kern w:val="2"/>
          <w:sz w:val="32"/>
          <w:szCs w:val="32"/>
          <w:lang w:val="en-US" w:eastAsia="zh-CN" w:bidi="ar-SA"/>
        </w:rPr>
      </w:pPr>
      <w:r>
        <w:rPr>
          <w:rFonts w:hint="eastAsia" w:ascii="仿宋_GB2312" w:hAnsi="Calibri" w:cs="宋体"/>
          <w:szCs w:val="32"/>
          <w:lang w:val="en-US" w:eastAsia="zh-CN"/>
        </w:rPr>
        <w:t>李  颖  市统计局副局长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王俊丽  市教育局副局长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孙东亮  市公安局副局长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张永建  市司法局副局长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刘新霞  市资源规划局副局长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杨伟增  市交通局副局长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王发民  市城管局副局长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赵勇光  市水利局副局长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尹伟炜  市人社局副局长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高京涛  市应急局副局长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张金伟  市商务局副局长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邓  嵩  市残联理事长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周  睿  市文广旅体局副局长</w:t>
      </w:r>
    </w:p>
    <w:p>
      <w:pPr>
        <w:pStyle w:val="2"/>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859" w:firstLineChars="581"/>
        <w:jc w:val="both"/>
        <w:textAlignment w:val="auto"/>
        <w:rPr>
          <w:rFonts w:hint="eastAsia" w:ascii="仿宋_GB2312" w:hAnsi="Calibri" w:eastAsia="仿宋_GB2312" w:cs="宋体"/>
          <w:b w:val="0"/>
          <w:kern w:val="2"/>
          <w:sz w:val="32"/>
          <w:szCs w:val="32"/>
          <w:lang w:val="en-US" w:eastAsia="zh-CN" w:bidi="ar-SA"/>
        </w:rPr>
      </w:pPr>
      <w:r>
        <w:rPr>
          <w:rFonts w:hint="eastAsia" w:ascii="仿宋_GB2312" w:hAnsi="Calibri" w:eastAsia="仿宋_GB2312" w:cs="宋体"/>
          <w:b w:val="0"/>
          <w:kern w:val="2"/>
          <w:sz w:val="32"/>
          <w:szCs w:val="32"/>
          <w:lang w:val="en-US" w:eastAsia="zh-CN" w:bidi="ar-SA"/>
        </w:rPr>
        <w:t>孙云霞  市政务服务大数据局副局长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张伟华  市科工信局煤炭服务中心主任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秦水亮  市农委新农村建设中心主任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高大伟  市住建局副科级干部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马万仓  市民政局副科级干部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陈  冬  市国资中心副主任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高  磊  市公共资源交易中心副主任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史亚敏  市房管中心副主任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eastAsia="仿宋_GB2312" w:cs="宋体"/>
          <w:b w:val="0"/>
          <w:color w:val="auto"/>
          <w:kern w:val="2"/>
          <w:sz w:val="32"/>
          <w:szCs w:val="32"/>
          <w:lang w:val="en-US" w:eastAsia="zh-CN" w:bidi="ar-SA"/>
        </w:rPr>
        <w:t>铁纪刚  市机关事务中心副主任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eastAsia"/>
          <w:lang w:val="en-US" w:eastAsia="zh-CN"/>
        </w:rPr>
      </w:pPr>
      <w:r>
        <w:rPr>
          <w:rFonts w:hint="eastAsia" w:ascii="仿宋_GB2312" w:hAnsi="Calibri" w:cs="宋体"/>
          <w:b w:val="0"/>
          <w:bCs w:val="0"/>
          <w:color w:val="auto"/>
          <w:szCs w:val="32"/>
          <w:lang w:val="en-US" w:eastAsia="zh-CN"/>
        </w:rPr>
        <w:t>樊  宁  市</w:t>
      </w:r>
      <w:r>
        <w:rPr>
          <w:rFonts w:hint="eastAsia" w:ascii="仿宋_GB2312" w:hAnsi="Calibri" w:cs="宋体"/>
          <w:color w:val="auto"/>
          <w:w w:val="100"/>
          <w:sz w:val="32"/>
          <w:szCs w:val="32"/>
          <w:lang w:val="en-US" w:eastAsia="zh-CN"/>
        </w:rPr>
        <w:t>金融服务中心副主任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周红斌  市不动产登记中心副主任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李东伟  市林业产业发展中心主任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78" w:firstLineChars="587"/>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赵文奇  市法院审判委员会专职委员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78" w:firstLineChars="587"/>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赵国华  市检察院副检察长</w:t>
      </w:r>
    </w:p>
    <w:p>
      <w:pPr>
        <w:keepNext w:val="0"/>
        <w:keepLines w:val="0"/>
        <w:pageBreakBefore w:val="0"/>
        <w:widowControl w:val="0"/>
        <w:tabs>
          <w:tab w:val="left" w:pos="2880"/>
        </w:tabs>
        <w:kinsoku/>
        <w:wordWrap/>
        <w:overflowPunct/>
        <w:topLinePunct w:val="0"/>
        <w:autoSpaceDE/>
        <w:autoSpaceDN/>
        <w:bidi w:val="0"/>
        <w:adjustRightInd/>
        <w:snapToGrid/>
        <w:spacing w:line="560" w:lineRule="exact"/>
        <w:ind w:left="0" w:leftChars="0" w:right="0" w:rightChars="0" w:firstLine="1878" w:firstLineChars="587"/>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王彦东  市生态环境分局副局长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岳建萍  市医疗保障局副局长</w:t>
      </w:r>
    </w:p>
    <w:p>
      <w:pPr>
        <w:pStyle w:val="2"/>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859" w:firstLineChars="581"/>
        <w:jc w:val="both"/>
        <w:textAlignment w:val="auto"/>
        <w:rPr>
          <w:rFonts w:hint="eastAsia" w:ascii="仿宋_GB2312" w:hAnsi="Calibri" w:eastAsia="仿宋_GB2312" w:cs="宋体"/>
          <w:b w:val="0"/>
          <w:kern w:val="2"/>
          <w:sz w:val="32"/>
          <w:szCs w:val="32"/>
          <w:lang w:val="en-US" w:eastAsia="zh-CN" w:bidi="ar-SA"/>
        </w:rPr>
      </w:pPr>
      <w:r>
        <w:rPr>
          <w:rFonts w:hint="eastAsia" w:ascii="仿宋_GB2312" w:hAnsi="Calibri" w:eastAsia="仿宋_GB2312" w:cs="宋体"/>
          <w:b w:val="0"/>
          <w:kern w:val="2"/>
          <w:sz w:val="32"/>
          <w:szCs w:val="32"/>
          <w:lang w:val="en-US" w:eastAsia="zh-CN" w:bidi="ar-SA"/>
        </w:rPr>
        <w:t>蒋为民  市烟草公司副局长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岳富强  市财政局财源事务中心主任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司彦杰  市市场监管局二级主办</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97" w:firstLineChars="593"/>
        <w:jc w:val="both"/>
        <w:textAlignment w:val="auto"/>
        <w:rPr>
          <w:rFonts w:hint="eastAsia"/>
          <w:lang w:val="en-US" w:eastAsia="zh-CN"/>
        </w:rPr>
      </w:pPr>
      <w:r>
        <w:rPr>
          <w:rFonts w:hint="eastAsia" w:ascii="仿宋_GB2312" w:hAnsi="Calibri" w:cs="宋体"/>
          <w:szCs w:val="32"/>
          <w:lang w:val="en-US" w:eastAsia="zh-CN"/>
        </w:rPr>
        <w:t>刘  锋  市爱国卫生服务中心主任</w:t>
      </w:r>
    </w:p>
    <w:p>
      <w:pPr>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lang w:val="en-US" w:eastAsia="zh-CN"/>
        </w:rPr>
      </w:pPr>
      <w:r>
        <w:rPr>
          <w:rFonts w:hint="eastAsia"/>
          <w:lang w:val="en-US" w:eastAsia="zh-CN"/>
        </w:rPr>
        <w:t xml:space="preserve">张国朝  </w:t>
      </w:r>
      <w:r>
        <w:rPr>
          <w:rFonts w:hint="eastAsia"/>
          <w:w w:val="90"/>
          <w:sz w:val="32"/>
          <w:lang w:val="en-US" w:eastAsia="zh-CN"/>
        </w:rPr>
        <w:t>郑州住房公积金管理中心新郑管理部副主任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赵高峰  国网新郑市供电公司副总经理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王根选  新郑市自来水公司总经理助理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default"/>
          <w:b w:val="0"/>
          <w:bCs/>
          <w:lang w:val="en-US" w:eastAsia="zh-CN"/>
        </w:rPr>
      </w:pPr>
      <w:r>
        <w:rPr>
          <w:rFonts w:hint="eastAsia" w:ascii="仿宋_GB2312" w:hAnsi="Calibri" w:cs="宋体"/>
          <w:szCs w:val="32"/>
          <w:lang w:val="en-US" w:eastAsia="zh-CN"/>
        </w:rPr>
        <w:t>郭鸿慧  新郑市中石油昆仑燃气有限公司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859" w:firstLineChars="581"/>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曹轶博  新郑市华润燃气公司副总经理</w:t>
      </w:r>
    </w:p>
    <w:p>
      <w:pPr>
        <w:pStyle w:val="2"/>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859" w:firstLineChars="581"/>
        <w:jc w:val="both"/>
        <w:textAlignment w:val="auto"/>
        <w:rPr>
          <w:rFonts w:hint="eastAsia" w:ascii="仿宋_GB2312" w:hAnsi="Calibri" w:eastAsia="仿宋_GB2312" w:cs="宋体"/>
          <w:b w:val="0"/>
          <w:kern w:val="2"/>
          <w:sz w:val="32"/>
          <w:szCs w:val="32"/>
          <w:lang w:val="en-US" w:eastAsia="zh-CN" w:bidi="ar-SA"/>
        </w:rPr>
      </w:pPr>
      <w:r>
        <w:rPr>
          <w:rFonts w:hint="eastAsia" w:ascii="仿宋_GB2312" w:hAnsi="Calibri" w:eastAsia="仿宋_GB2312" w:cs="宋体"/>
          <w:b w:val="0"/>
          <w:kern w:val="2"/>
          <w:sz w:val="32"/>
          <w:szCs w:val="32"/>
          <w:lang w:val="en-US" w:eastAsia="zh-CN" w:bidi="ar-SA"/>
        </w:rPr>
        <w:t>卢广军  新郑市蓝天燃气有限公司总经理助理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cs="宋体"/>
          <w:szCs w:val="32"/>
          <w:lang w:val="en-US" w:eastAsia="zh-CN"/>
        </w:rPr>
      </w:pPr>
      <w:r>
        <w:rPr>
          <w:rFonts w:hint="eastAsia" w:ascii="仿宋_GB2312" w:hAnsi="Calibri" w:cs="宋体"/>
          <w:szCs w:val="32"/>
          <w:lang w:val="en-US" w:eastAsia="zh-CN"/>
        </w:rPr>
        <w:t>领导小组下设办公室，办公室设在市财政局，承担领导小组日常工作，办公室主任由市财政局局长兼任，副主任由市财政局副局长、市财政局财源事务中心主任兼任。办公室主要负责研究提出全市税费共治工作的总体思路和工作建议，制定完善涉税涉费信息目录，推广应用税费共治信息系统，加强涉税涉费信息分析利用，规范涉税涉费信息安全管理，开展税费共治督导考核，组织税费共治宣传培训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Calibri" w:cs="宋体"/>
          <w:szCs w:val="32"/>
          <w:lang w:val="en-US" w:eastAsia="zh-CN"/>
        </w:rPr>
      </w:pPr>
    </w:p>
    <w:sectPr>
      <w:footerReference r:id="rId3" w:type="default"/>
      <w:pgSz w:w="11906" w:h="16838"/>
      <w:pgMar w:top="1984" w:right="1417" w:bottom="1701" w:left="1417"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xOTUxOWIzNzk3ODVlZDFlZTY5YTQ3YjgwOGI3NzYifQ=="/>
  </w:docVars>
  <w:rsids>
    <w:rsidRoot w:val="00FB5B3A"/>
    <w:rsid w:val="00002821"/>
    <w:rsid w:val="00017C79"/>
    <w:rsid w:val="000A0506"/>
    <w:rsid w:val="000A69A3"/>
    <w:rsid w:val="00107C27"/>
    <w:rsid w:val="00124098"/>
    <w:rsid w:val="0016170A"/>
    <w:rsid w:val="00165AD1"/>
    <w:rsid w:val="00191CB6"/>
    <w:rsid w:val="0025430E"/>
    <w:rsid w:val="00264BA7"/>
    <w:rsid w:val="002A1676"/>
    <w:rsid w:val="002C0E26"/>
    <w:rsid w:val="00313C01"/>
    <w:rsid w:val="003266E4"/>
    <w:rsid w:val="00364438"/>
    <w:rsid w:val="003D5AF0"/>
    <w:rsid w:val="00451A59"/>
    <w:rsid w:val="00485529"/>
    <w:rsid w:val="00494B42"/>
    <w:rsid w:val="004C399F"/>
    <w:rsid w:val="004F6A05"/>
    <w:rsid w:val="00533307"/>
    <w:rsid w:val="00642DBF"/>
    <w:rsid w:val="00657004"/>
    <w:rsid w:val="00746AAC"/>
    <w:rsid w:val="007F3F2C"/>
    <w:rsid w:val="00855D49"/>
    <w:rsid w:val="008A2009"/>
    <w:rsid w:val="008E48F5"/>
    <w:rsid w:val="008F756A"/>
    <w:rsid w:val="00935D53"/>
    <w:rsid w:val="0096741B"/>
    <w:rsid w:val="009C7331"/>
    <w:rsid w:val="00A07A0B"/>
    <w:rsid w:val="00A53A35"/>
    <w:rsid w:val="00A734F6"/>
    <w:rsid w:val="00AB3D7E"/>
    <w:rsid w:val="00B142F8"/>
    <w:rsid w:val="00B96168"/>
    <w:rsid w:val="00BA7CA7"/>
    <w:rsid w:val="00C80B89"/>
    <w:rsid w:val="00CB2E8F"/>
    <w:rsid w:val="00D22314"/>
    <w:rsid w:val="00D66FBA"/>
    <w:rsid w:val="00D74EE6"/>
    <w:rsid w:val="00D75AAD"/>
    <w:rsid w:val="00D75E2E"/>
    <w:rsid w:val="00D809E4"/>
    <w:rsid w:val="00D823CD"/>
    <w:rsid w:val="00D867BB"/>
    <w:rsid w:val="00D927EE"/>
    <w:rsid w:val="00DA5A77"/>
    <w:rsid w:val="00E265B7"/>
    <w:rsid w:val="00E633CE"/>
    <w:rsid w:val="00E835BA"/>
    <w:rsid w:val="00EC2475"/>
    <w:rsid w:val="00F102AA"/>
    <w:rsid w:val="00F44ECC"/>
    <w:rsid w:val="00F54F34"/>
    <w:rsid w:val="00FB5B3A"/>
    <w:rsid w:val="00FB7F53"/>
    <w:rsid w:val="0103164E"/>
    <w:rsid w:val="01660A28"/>
    <w:rsid w:val="01AC3A93"/>
    <w:rsid w:val="01B44287"/>
    <w:rsid w:val="024A1F3D"/>
    <w:rsid w:val="02D07B49"/>
    <w:rsid w:val="03C01FEA"/>
    <w:rsid w:val="04CE3D21"/>
    <w:rsid w:val="059E7B97"/>
    <w:rsid w:val="07A23BA4"/>
    <w:rsid w:val="091F0FEF"/>
    <w:rsid w:val="09402A63"/>
    <w:rsid w:val="0A060A64"/>
    <w:rsid w:val="0AF12517"/>
    <w:rsid w:val="0BEA2A4D"/>
    <w:rsid w:val="0C1B06E3"/>
    <w:rsid w:val="0CE50674"/>
    <w:rsid w:val="0EFB437C"/>
    <w:rsid w:val="0F6712B2"/>
    <w:rsid w:val="104C6741"/>
    <w:rsid w:val="10846E70"/>
    <w:rsid w:val="108C5FCF"/>
    <w:rsid w:val="11090360"/>
    <w:rsid w:val="111D5839"/>
    <w:rsid w:val="117526ED"/>
    <w:rsid w:val="11D861B7"/>
    <w:rsid w:val="120F62A1"/>
    <w:rsid w:val="122D0B62"/>
    <w:rsid w:val="136F7375"/>
    <w:rsid w:val="14997EA7"/>
    <w:rsid w:val="14DD7269"/>
    <w:rsid w:val="16F92E7F"/>
    <w:rsid w:val="17555BDC"/>
    <w:rsid w:val="17F35B20"/>
    <w:rsid w:val="18293327"/>
    <w:rsid w:val="197D71E0"/>
    <w:rsid w:val="19CE7307"/>
    <w:rsid w:val="1AFFB71E"/>
    <w:rsid w:val="1B196C01"/>
    <w:rsid w:val="1B1A7868"/>
    <w:rsid w:val="1BE73090"/>
    <w:rsid w:val="1BF5117E"/>
    <w:rsid w:val="1C4F3541"/>
    <w:rsid w:val="1CC602DA"/>
    <w:rsid w:val="1D2B3067"/>
    <w:rsid w:val="1DCCCD50"/>
    <w:rsid w:val="1DE75F2C"/>
    <w:rsid w:val="1E4A5D20"/>
    <w:rsid w:val="1F3D7B5B"/>
    <w:rsid w:val="1F533349"/>
    <w:rsid w:val="1F7FAF41"/>
    <w:rsid w:val="20605B4F"/>
    <w:rsid w:val="20AC2D10"/>
    <w:rsid w:val="20B35E4D"/>
    <w:rsid w:val="21DE15EF"/>
    <w:rsid w:val="22AF5ED3"/>
    <w:rsid w:val="23A9C681"/>
    <w:rsid w:val="24A24B56"/>
    <w:rsid w:val="26606A77"/>
    <w:rsid w:val="28725D4D"/>
    <w:rsid w:val="28846321"/>
    <w:rsid w:val="28C67888"/>
    <w:rsid w:val="291C58CC"/>
    <w:rsid w:val="29B86751"/>
    <w:rsid w:val="29D62BAC"/>
    <w:rsid w:val="2A7860D4"/>
    <w:rsid w:val="2B9B40AD"/>
    <w:rsid w:val="2BF7373D"/>
    <w:rsid w:val="2C7F9564"/>
    <w:rsid w:val="2CAB494C"/>
    <w:rsid w:val="2DAB3E7F"/>
    <w:rsid w:val="2DD54D40"/>
    <w:rsid w:val="2DFD3C0E"/>
    <w:rsid w:val="2E3F74CA"/>
    <w:rsid w:val="2E57C17A"/>
    <w:rsid w:val="2FD96BD1"/>
    <w:rsid w:val="30356FF9"/>
    <w:rsid w:val="3233326A"/>
    <w:rsid w:val="351A6043"/>
    <w:rsid w:val="35717A4C"/>
    <w:rsid w:val="35A84F62"/>
    <w:rsid w:val="35DEA6F2"/>
    <w:rsid w:val="36162E53"/>
    <w:rsid w:val="36914A2B"/>
    <w:rsid w:val="37997AD8"/>
    <w:rsid w:val="380814B2"/>
    <w:rsid w:val="38877E93"/>
    <w:rsid w:val="38E30E42"/>
    <w:rsid w:val="398E5251"/>
    <w:rsid w:val="39F71049"/>
    <w:rsid w:val="3A5BA536"/>
    <w:rsid w:val="3A7140B1"/>
    <w:rsid w:val="3B3777AF"/>
    <w:rsid w:val="3B4F67F3"/>
    <w:rsid w:val="3B5F40A8"/>
    <w:rsid w:val="3B7A1EE4"/>
    <w:rsid w:val="3BB3C939"/>
    <w:rsid w:val="3BF5AAEC"/>
    <w:rsid w:val="3C1D8940"/>
    <w:rsid w:val="3D7B4627"/>
    <w:rsid w:val="3DEB5D12"/>
    <w:rsid w:val="3DF3DC22"/>
    <w:rsid w:val="3E7BE79B"/>
    <w:rsid w:val="3EC76B54"/>
    <w:rsid w:val="3EDE94B1"/>
    <w:rsid w:val="3F1D4C1D"/>
    <w:rsid w:val="3F6D76B7"/>
    <w:rsid w:val="3F75248E"/>
    <w:rsid w:val="3FAD184A"/>
    <w:rsid w:val="3FC317CA"/>
    <w:rsid w:val="3FF5B321"/>
    <w:rsid w:val="3FF6BAC2"/>
    <w:rsid w:val="3FF913CC"/>
    <w:rsid w:val="3FFA1020"/>
    <w:rsid w:val="3FFD0268"/>
    <w:rsid w:val="40943E7C"/>
    <w:rsid w:val="41214BFD"/>
    <w:rsid w:val="41EA1493"/>
    <w:rsid w:val="41EBC201"/>
    <w:rsid w:val="42A67168"/>
    <w:rsid w:val="42DD758E"/>
    <w:rsid w:val="431C6D74"/>
    <w:rsid w:val="435B427F"/>
    <w:rsid w:val="452F2CB5"/>
    <w:rsid w:val="453541A5"/>
    <w:rsid w:val="46AFEBF2"/>
    <w:rsid w:val="46D25BAB"/>
    <w:rsid w:val="473DF791"/>
    <w:rsid w:val="47EDDD57"/>
    <w:rsid w:val="47FB7F56"/>
    <w:rsid w:val="492D3747"/>
    <w:rsid w:val="494B1C8C"/>
    <w:rsid w:val="4A7E7809"/>
    <w:rsid w:val="4AFC64BF"/>
    <w:rsid w:val="4C214F67"/>
    <w:rsid w:val="4CDC2F1E"/>
    <w:rsid w:val="4D093A58"/>
    <w:rsid w:val="4D2B3DB3"/>
    <w:rsid w:val="4F57453B"/>
    <w:rsid w:val="4F8545A9"/>
    <w:rsid w:val="4F8E380C"/>
    <w:rsid w:val="4F9B0910"/>
    <w:rsid w:val="4FA7451F"/>
    <w:rsid w:val="4FF5FA1C"/>
    <w:rsid w:val="4FF73CB5"/>
    <w:rsid w:val="50A307F2"/>
    <w:rsid w:val="50AA076B"/>
    <w:rsid w:val="50CF3D2E"/>
    <w:rsid w:val="50D5743B"/>
    <w:rsid w:val="50DA60B4"/>
    <w:rsid w:val="51494FA1"/>
    <w:rsid w:val="51BF4829"/>
    <w:rsid w:val="529E34E1"/>
    <w:rsid w:val="53EFA8A9"/>
    <w:rsid w:val="54037DFF"/>
    <w:rsid w:val="54E2054D"/>
    <w:rsid w:val="54E7254E"/>
    <w:rsid w:val="559727EE"/>
    <w:rsid w:val="55F779BA"/>
    <w:rsid w:val="55F9604E"/>
    <w:rsid w:val="56B91708"/>
    <w:rsid w:val="57015E28"/>
    <w:rsid w:val="57060A6B"/>
    <w:rsid w:val="572528F9"/>
    <w:rsid w:val="57643691"/>
    <w:rsid w:val="57BFE014"/>
    <w:rsid w:val="57CF6D9F"/>
    <w:rsid w:val="57FA0F52"/>
    <w:rsid w:val="57FFC98F"/>
    <w:rsid w:val="58146B79"/>
    <w:rsid w:val="583354EA"/>
    <w:rsid w:val="583C3801"/>
    <w:rsid w:val="5A7F0202"/>
    <w:rsid w:val="5AF705D0"/>
    <w:rsid w:val="5BA7F39F"/>
    <w:rsid w:val="5BF74E2D"/>
    <w:rsid w:val="5BFF700F"/>
    <w:rsid w:val="5C9A7813"/>
    <w:rsid w:val="5CF77623"/>
    <w:rsid w:val="5D8B36D2"/>
    <w:rsid w:val="5DAE48E5"/>
    <w:rsid w:val="5DAF73C1"/>
    <w:rsid w:val="5E28378F"/>
    <w:rsid w:val="5E321C84"/>
    <w:rsid w:val="5EB517AA"/>
    <w:rsid w:val="5F573A26"/>
    <w:rsid w:val="5F5A4E75"/>
    <w:rsid w:val="5FA79E8E"/>
    <w:rsid w:val="5FB57A0D"/>
    <w:rsid w:val="5FCE4AE5"/>
    <w:rsid w:val="5FF78C93"/>
    <w:rsid w:val="600E7C6B"/>
    <w:rsid w:val="6112B984"/>
    <w:rsid w:val="627B3D15"/>
    <w:rsid w:val="62BB513C"/>
    <w:rsid w:val="636B5B38"/>
    <w:rsid w:val="636F9D34"/>
    <w:rsid w:val="63833090"/>
    <w:rsid w:val="63B3D026"/>
    <w:rsid w:val="63FD1C0B"/>
    <w:rsid w:val="648D7C4D"/>
    <w:rsid w:val="656C53AA"/>
    <w:rsid w:val="65BE0BC7"/>
    <w:rsid w:val="65F36D4E"/>
    <w:rsid w:val="66BD51E9"/>
    <w:rsid w:val="66DB4BEF"/>
    <w:rsid w:val="66EBA188"/>
    <w:rsid w:val="66F26CC1"/>
    <w:rsid w:val="673BC171"/>
    <w:rsid w:val="676F34BE"/>
    <w:rsid w:val="67A12761"/>
    <w:rsid w:val="67A95DB5"/>
    <w:rsid w:val="67AE6934"/>
    <w:rsid w:val="67F278AA"/>
    <w:rsid w:val="67F3434E"/>
    <w:rsid w:val="67FF2CF3"/>
    <w:rsid w:val="68DF717C"/>
    <w:rsid w:val="69170B72"/>
    <w:rsid w:val="69172DED"/>
    <w:rsid w:val="696D002A"/>
    <w:rsid w:val="69BFE0E0"/>
    <w:rsid w:val="6A142779"/>
    <w:rsid w:val="6B3E1D84"/>
    <w:rsid w:val="6B6FF99C"/>
    <w:rsid w:val="6DFD30DE"/>
    <w:rsid w:val="6E3A4724"/>
    <w:rsid w:val="6E55374E"/>
    <w:rsid w:val="6E6FC557"/>
    <w:rsid w:val="6EFE56B7"/>
    <w:rsid w:val="6FBF3805"/>
    <w:rsid w:val="6FD093E4"/>
    <w:rsid w:val="6FDFB05A"/>
    <w:rsid w:val="6FE721E0"/>
    <w:rsid w:val="722358EF"/>
    <w:rsid w:val="726A7902"/>
    <w:rsid w:val="728D3CD9"/>
    <w:rsid w:val="72BB7C06"/>
    <w:rsid w:val="72F6AE3F"/>
    <w:rsid w:val="735741B0"/>
    <w:rsid w:val="73EFFC43"/>
    <w:rsid w:val="74066F72"/>
    <w:rsid w:val="749F623B"/>
    <w:rsid w:val="74EA60BA"/>
    <w:rsid w:val="75322959"/>
    <w:rsid w:val="75792336"/>
    <w:rsid w:val="757F6C00"/>
    <w:rsid w:val="76165DD7"/>
    <w:rsid w:val="767F3B0B"/>
    <w:rsid w:val="76CEFAF7"/>
    <w:rsid w:val="76EFA640"/>
    <w:rsid w:val="774F8B86"/>
    <w:rsid w:val="77A76281"/>
    <w:rsid w:val="77EFA286"/>
    <w:rsid w:val="77FEF902"/>
    <w:rsid w:val="78DE6FF6"/>
    <w:rsid w:val="7916B6E6"/>
    <w:rsid w:val="79EF098B"/>
    <w:rsid w:val="79F16E9E"/>
    <w:rsid w:val="79F857F4"/>
    <w:rsid w:val="79FF2A76"/>
    <w:rsid w:val="7AEF9330"/>
    <w:rsid w:val="7AFF5A8C"/>
    <w:rsid w:val="7BDBDB0F"/>
    <w:rsid w:val="7BDF8A86"/>
    <w:rsid w:val="7BEB6954"/>
    <w:rsid w:val="7BEFCC17"/>
    <w:rsid w:val="7C6DA185"/>
    <w:rsid w:val="7D5316BF"/>
    <w:rsid w:val="7D6B762C"/>
    <w:rsid w:val="7D7EDAAD"/>
    <w:rsid w:val="7DB46DE0"/>
    <w:rsid w:val="7DED6010"/>
    <w:rsid w:val="7DF7A0DC"/>
    <w:rsid w:val="7E0809C4"/>
    <w:rsid w:val="7E150594"/>
    <w:rsid w:val="7E7FEF85"/>
    <w:rsid w:val="7EEF7DE8"/>
    <w:rsid w:val="7EF422C3"/>
    <w:rsid w:val="7EF77C26"/>
    <w:rsid w:val="7EFCB836"/>
    <w:rsid w:val="7EFF3DA1"/>
    <w:rsid w:val="7F386565"/>
    <w:rsid w:val="7F5EC2B9"/>
    <w:rsid w:val="7F5F8111"/>
    <w:rsid w:val="7F7DC5FD"/>
    <w:rsid w:val="7F7F016B"/>
    <w:rsid w:val="7F7F0EC7"/>
    <w:rsid w:val="7F9F4A73"/>
    <w:rsid w:val="7FAF63BD"/>
    <w:rsid w:val="7FBD185C"/>
    <w:rsid w:val="7FBF7560"/>
    <w:rsid w:val="7FC6EFC8"/>
    <w:rsid w:val="7FC7FE1A"/>
    <w:rsid w:val="7FCD4846"/>
    <w:rsid w:val="7FDFF217"/>
    <w:rsid w:val="7FE49A43"/>
    <w:rsid w:val="7FEB84C5"/>
    <w:rsid w:val="7FF27099"/>
    <w:rsid w:val="7FFD988F"/>
    <w:rsid w:val="7FFEDD67"/>
    <w:rsid w:val="886D76E4"/>
    <w:rsid w:val="8C7FD5AF"/>
    <w:rsid w:val="8EFF0330"/>
    <w:rsid w:val="8FA6B33C"/>
    <w:rsid w:val="975F4A05"/>
    <w:rsid w:val="97EF9AA5"/>
    <w:rsid w:val="9B6E884F"/>
    <w:rsid w:val="9DFF9A18"/>
    <w:rsid w:val="A4D7AAE5"/>
    <w:rsid w:val="A7DFAE28"/>
    <w:rsid w:val="AAE95A47"/>
    <w:rsid w:val="AEDC01BA"/>
    <w:rsid w:val="AF3A958E"/>
    <w:rsid w:val="AFDCB562"/>
    <w:rsid w:val="AFF5D41A"/>
    <w:rsid w:val="AFFEABA9"/>
    <w:rsid w:val="B1737173"/>
    <w:rsid w:val="B3E7A2B4"/>
    <w:rsid w:val="B7B535C2"/>
    <w:rsid w:val="B7BE74F2"/>
    <w:rsid w:val="B7CDB501"/>
    <w:rsid w:val="B7EF8C33"/>
    <w:rsid w:val="B8FFFA82"/>
    <w:rsid w:val="B9625115"/>
    <w:rsid w:val="B97D296A"/>
    <w:rsid w:val="B9F36586"/>
    <w:rsid w:val="B9F77300"/>
    <w:rsid w:val="B9FB34C6"/>
    <w:rsid w:val="BA9FABC9"/>
    <w:rsid w:val="BAFB3982"/>
    <w:rsid w:val="BBF7EE19"/>
    <w:rsid w:val="BC5E99A4"/>
    <w:rsid w:val="BDD6AB14"/>
    <w:rsid w:val="BDE9872F"/>
    <w:rsid w:val="BDEF4737"/>
    <w:rsid w:val="BECDB14E"/>
    <w:rsid w:val="BEEAC383"/>
    <w:rsid w:val="BEEFDA79"/>
    <w:rsid w:val="BF7F4393"/>
    <w:rsid w:val="BFCE7CC8"/>
    <w:rsid w:val="BFDCAA94"/>
    <w:rsid w:val="BFDDCE4D"/>
    <w:rsid w:val="BFF78BCC"/>
    <w:rsid w:val="BFFD81BF"/>
    <w:rsid w:val="BFFF535D"/>
    <w:rsid w:val="C3FFE3E6"/>
    <w:rsid w:val="C6FFC001"/>
    <w:rsid w:val="C79F236C"/>
    <w:rsid w:val="CA5BE1CA"/>
    <w:rsid w:val="CBBAE6C9"/>
    <w:rsid w:val="CC965AA8"/>
    <w:rsid w:val="CCF7C1D4"/>
    <w:rsid w:val="CD771735"/>
    <w:rsid w:val="CDFE6EF5"/>
    <w:rsid w:val="CFB73586"/>
    <w:rsid w:val="D5FFDC57"/>
    <w:rsid w:val="D71B6FD9"/>
    <w:rsid w:val="DB5E7930"/>
    <w:rsid w:val="DB979A9F"/>
    <w:rsid w:val="DBBBF1C0"/>
    <w:rsid w:val="DC7B13DE"/>
    <w:rsid w:val="DDDDB775"/>
    <w:rsid w:val="DDFB7960"/>
    <w:rsid w:val="DDFD13FF"/>
    <w:rsid w:val="DDFEA1E6"/>
    <w:rsid w:val="DEEB217C"/>
    <w:rsid w:val="DEFF98E1"/>
    <w:rsid w:val="DFCD214E"/>
    <w:rsid w:val="DFFFF009"/>
    <w:rsid w:val="DFFFFD27"/>
    <w:rsid w:val="E19C24BB"/>
    <w:rsid w:val="E1DFA5A5"/>
    <w:rsid w:val="E1FE76BD"/>
    <w:rsid w:val="E3B3787D"/>
    <w:rsid w:val="E3DE9861"/>
    <w:rsid w:val="E3E9A583"/>
    <w:rsid w:val="E56F1939"/>
    <w:rsid w:val="E6F79C7F"/>
    <w:rsid w:val="E6FFDFEB"/>
    <w:rsid w:val="E79FE344"/>
    <w:rsid w:val="E899433C"/>
    <w:rsid w:val="E9FDFDDB"/>
    <w:rsid w:val="EA77CF7C"/>
    <w:rsid w:val="EA8C12B5"/>
    <w:rsid w:val="EAA78C2B"/>
    <w:rsid w:val="EB3DFA07"/>
    <w:rsid w:val="ED6F9119"/>
    <w:rsid w:val="ED9F7420"/>
    <w:rsid w:val="EDCD91F4"/>
    <w:rsid w:val="EEBEB60C"/>
    <w:rsid w:val="EF9D90D9"/>
    <w:rsid w:val="EFDBA9F5"/>
    <w:rsid w:val="EFDE85F9"/>
    <w:rsid w:val="EFFB36A2"/>
    <w:rsid w:val="F31C06EC"/>
    <w:rsid w:val="F3DFBC93"/>
    <w:rsid w:val="F3E92378"/>
    <w:rsid w:val="F3EF7219"/>
    <w:rsid w:val="F58ED3AD"/>
    <w:rsid w:val="F59FAC76"/>
    <w:rsid w:val="F5DFEC4B"/>
    <w:rsid w:val="F6878AD5"/>
    <w:rsid w:val="F6C68118"/>
    <w:rsid w:val="F6DF25B0"/>
    <w:rsid w:val="F767B224"/>
    <w:rsid w:val="F7CFA3F5"/>
    <w:rsid w:val="F7DD62EC"/>
    <w:rsid w:val="F7FE562B"/>
    <w:rsid w:val="F8D7D931"/>
    <w:rsid w:val="F977FFF8"/>
    <w:rsid w:val="F9BBC8BD"/>
    <w:rsid w:val="F9FE2D58"/>
    <w:rsid w:val="FA795BB6"/>
    <w:rsid w:val="FAF92B35"/>
    <w:rsid w:val="FAFD13D5"/>
    <w:rsid w:val="FB0C81D1"/>
    <w:rsid w:val="FB1FBD81"/>
    <w:rsid w:val="FB2B1333"/>
    <w:rsid w:val="FB3F0FDD"/>
    <w:rsid w:val="FB791D1B"/>
    <w:rsid w:val="FB7E2E20"/>
    <w:rsid w:val="FB7FDC5E"/>
    <w:rsid w:val="FBAF13E8"/>
    <w:rsid w:val="FBAF9CE5"/>
    <w:rsid w:val="FBFD4ED6"/>
    <w:rsid w:val="FBFE5418"/>
    <w:rsid w:val="FBFF31F1"/>
    <w:rsid w:val="FCAC61A2"/>
    <w:rsid w:val="FCFAF33A"/>
    <w:rsid w:val="FCFD0657"/>
    <w:rsid w:val="FD3BCAF0"/>
    <w:rsid w:val="FD7EBD18"/>
    <w:rsid w:val="FD7FD9ED"/>
    <w:rsid w:val="FDD67859"/>
    <w:rsid w:val="FDF766FD"/>
    <w:rsid w:val="FE6F5A38"/>
    <w:rsid w:val="FEBC23BC"/>
    <w:rsid w:val="FEDC24C3"/>
    <w:rsid w:val="FEFF0CA5"/>
    <w:rsid w:val="FEFF519B"/>
    <w:rsid w:val="FF511CBF"/>
    <w:rsid w:val="FF5F95CE"/>
    <w:rsid w:val="FF7B5993"/>
    <w:rsid w:val="FF7E3E14"/>
    <w:rsid w:val="FF970984"/>
    <w:rsid w:val="FF9CB5C9"/>
    <w:rsid w:val="FFBD55C9"/>
    <w:rsid w:val="FFBE8347"/>
    <w:rsid w:val="FFBF1AB8"/>
    <w:rsid w:val="FFDD34D6"/>
    <w:rsid w:val="FFDF32C5"/>
    <w:rsid w:val="FFED58A4"/>
    <w:rsid w:val="FFEF00B3"/>
    <w:rsid w:val="FFEFA097"/>
    <w:rsid w:val="FFFD49E8"/>
    <w:rsid w:val="FFFEAD41"/>
    <w:rsid w:val="FFFF52B2"/>
    <w:rsid w:val="FFFF8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autoRedefine/>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602</Words>
  <Characters>3438</Characters>
  <Lines>28</Lines>
  <Paragraphs>8</Paragraphs>
  <TotalTime>0</TotalTime>
  <ScaleCrop>false</ScaleCrop>
  <LinksUpToDate>false</LinksUpToDate>
  <CharactersWithSpaces>4032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2023-12-29T09:10:00Z</dcterms:created>
  <dc:creator>lenovo</dc:creator>
  <cp:lastModifiedBy>Administrator</cp:lastModifiedBy>
  <cp:lastPrinted>2024-03-16T10:05:00Z</cp:lastPrinted>
  <dcterms:modified xsi:type="dcterms:W3CDTF">2024-03-26T06:40:16Z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25FCFEB7BEB646B7A078A315D50532E0_13</vt:lpwstr>
  </property>
</Properties>
</file>