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新郑市交通运输局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年度政府信息公开工作年度报告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本报告是根据《中华人民共和国政府信息公开条例》要求编制。本报告内容包括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、主动公开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信息情况、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收到和处理政府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申请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情况、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信息公开行政复议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行政诉讼情况、存在的主要问题及改进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情况、其他需要报告的事项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本报告中所列数据的统计期限自20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年1月1日至20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年12月31日止。本报告的电子版可在郑州市政府网站（www.zhengzhou.gov.cn）下载。如对本报告有任何疑问，请与新郑市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交通局办公室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联系（地址：新郑市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新建路繁荣街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108号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；联系电话：0371-6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2693171；邮箱：xzsjtjbgs@163.com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Verdana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  <w:t> 20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  <w:t>年，新郑市交通局在新郑市委、市政府和郑州市局的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  <w:lang w:eastAsia="zh-CN"/>
        </w:rPr>
        <w:t>坚持</w:t>
      </w:r>
      <w:r>
        <w:rPr>
          <w:rFonts w:hint="eastAsia" w:ascii="仿宋_GB2312" w:hAnsi="Verdana" w:eastAsia="仿宋_GB2312"/>
          <w:color w:val="000000"/>
          <w:sz w:val="32"/>
          <w:szCs w:val="32"/>
          <w:shd w:val="clear" w:color="auto" w:fill="FFFFFF"/>
        </w:rPr>
        <w:t>领导下，坚持以习近平新时代中国特色社会主义思想为指导，深入贯彻落实党的十九大精神，严格按照《中华人民共和国政府信息公开条例》要求，坚持“严格依法、全面真实、及时便民”原则，结合交通运输工作实际，围绕重点工作，积极推进政府信息公开工作，切实保障公民知情权，有效建立起了政府与群众沟通了解的桥梁。坚持统筹兼顾、突出重点，坚持以公开为常态、不公开为例外，坚持正确、准确、及时，大力推进决策、执行、管理、服务、结果公开，较好的完成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hint="eastAsia" w:ascii="黑体" w:hAnsi="黑体" w:eastAsia="黑体" w:cs="黑体"/>
          <w:b w:val="0"/>
          <w:bCs/>
          <w:color w:val="000000"/>
          <w:sz w:val="24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二、主动公开政府信息情况</w:t>
      </w:r>
    </w:p>
    <w:tbl>
      <w:tblPr>
        <w:tblStyle w:val="5"/>
        <w:tblW w:w="8152" w:type="dxa"/>
        <w:jc w:val="center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799"/>
        <w:gridCol w:w="2059"/>
        <w:gridCol w:w="1431"/>
        <w:gridCol w:w="1863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5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第二十条第（一）项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本年新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Segoe UI" w:hAnsi="宋体"/>
                <w:color w:val="000000"/>
                <w:sz w:val="20"/>
                <w:shd w:val="clear" w:color="auto" w:fill="E6F4FF"/>
              </w:rPr>
              <w:t>制作数量</w:t>
            </w:r>
          </w:p>
        </w:tc>
        <w:tc>
          <w:tcPr>
            <w:tcW w:w="1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本年新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ascii="Segoe UI" w:hAnsi="宋体"/>
                <w:color w:val="000000"/>
                <w:sz w:val="20"/>
                <w:shd w:val="clear" w:color="auto" w:fill="E6F4FF"/>
              </w:rPr>
              <w:t>公开数量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对外公开总数量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规</w:t>
            </w: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 xml:space="preserve">     </w:t>
            </w: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章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规范性文件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第二十条第（五）项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上一年项目数量</w:t>
            </w:r>
          </w:p>
        </w:tc>
        <w:tc>
          <w:tcPr>
            <w:tcW w:w="1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本年增/减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处理决定数量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行政许可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ind w:firstLine="600" w:firstLineChars="300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0"/>
                <w:szCs w:val="20"/>
                <w:shd w:val="clear" w:color="auto" w:fill="E6F4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其他对外管理服务事项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第二十条第（六）项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信息内容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上一年项目数量</w:t>
            </w:r>
          </w:p>
        </w:tc>
        <w:tc>
          <w:tcPr>
            <w:tcW w:w="14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本年增/减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处理决定数量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行政处罚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536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行政强制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第二十条第（八）项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信息内容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上一年项目数量</w:t>
            </w:r>
          </w:p>
        </w:tc>
        <w:tc>
          <w:tcPr>
            <w:tcW w:w="32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本年增/减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行政事业性收费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52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C6D9F1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C6D9F1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C6D9F1"/>
              </w:rPr>
              <w:t>第二十条第（九）项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信息内容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采购项目数量</w:t>
            </w:r>
          </w:p>
        </w:tc>
        <w:tc>
          <w:tcPr>
            <w:tcW w:w="329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采购总金额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279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政府集中采购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Segoe UI" w:hAnsi="宋体"/>
                <w:color w:val="000000"/>
                <w:sz w:val="24"/>
                <w:szCs w:val="22"/>
                <w:shd w:val="clear" w:color="auto" w:fill="E6F4FF"/>
                <w:lang w:val="en-US" w:eastAsia="zh-CN"/>
              </w:rPr>
              <w:t>25</w:t>
            </w:r>
            <w:r>
              <w:rPr>
                <w:rFonts w:hint="eastAsia" w:ascii="Segoe UI" w:hAnsi="宋体"/>
                <w:color w:val="000000"/>
                <w:sz w:val="24"/>
                <w:szCs w:val="22"/>
                <w:shd w:val="clear" w:color="auto" w:fill="E6F4FF"/>
              </w:rPr>
              <w:t>个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Segoe UI" w:hAnsi="宋体" w:eastAsia="微软雅黑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AFCFD"/>
              </w:rPr>
              <w:t>28004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AFCFD"/>
                <w:lang w:val="en-US" w:eastAsia="zh-CN"/>
              </w:rPr>
              <w:t>.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AFCFD"/>
              </w:rPr>
              <w:t>630960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auto"/>
                <w:spacing w:val="0"/>
                <w:sz w:val="21"/>
                <w:szCs w:val="21"/>
                <w:shd w:val="clear" w:fill="FAFCFD"/>
                <w:lang w:eastAsia="zh-CN"/>
              </w:rPr>
              <w:t>万元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ascii="宋体" w:hAnsi="宋体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32"/>
          <w:szCs w:val="32"/>
        </w:rPr>
        <w:t>三、收到和处理政府信息公开申请情况</w:t>
      </w:r>
    </w:p>
    <w:tbl>
      <w:tblPr>
        <w:tblStyle w:val="5"/>
        <w:tblW w:w="906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36"/>
        <w:gridCol w:w="1225"/>
        <w:gridCol w:w="1607"/>
        <w:gridCol w:w="812"/>
        <w:gridCol w:w="784"/>
        <w:gridCol w:w="784"/>
        <w:gridCol w:w="812"/>
        <w:gridCol w:w="887"/>
        <w:gridCol w:w="764"/>
        <w:gridCol w:w="7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（本列数据的勾稽关系为：第一项加第二项之和，等于第三项加第四项之和）</w:t>
            </w:r>
          </w:p>
        </w:tc>
        <w:tc>
          <w:tcPr>
            <w:tcW w:w="559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自然人</w:t>
            </w:r>
          </w:p>
        </w:tc>
        <w:tc>
          <w:tcPr>
            <w:tcW w:w="403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法人或其他组织</w:t>
            </w:r>
          </w:p>
        </w:tc>
        <w:tc>
          <w:tcPr>
            <w:tcW w:w="7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商业企业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科研机构</w:t>
            </w:r>
          </w:p>
        </w:tc>
        <w:tc>
          <w:tcPr>
            <w:tcW w:w="8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社会公益组织</w:t>
            </w:r>
          </w:p>
        </w:tc>
        <w:tc>
          <w:tcPr>
            <w:tcW w:w="8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法律服务机构</w:t>
            </w:r>
          </w:p>
        </w:tc>
        <w:tc>
          <w:tcPr>
            <w:tcW w:w="7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其他</w:t>
            </w:r>
          </w:p>
        </w:tc>
        <w:tc>
          <w:tcPr>
            <w:tcW w:w="7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300" w:line="560" w:lineRule="exact"/>
              <w:jc w:val="center"/>
              <w:rPr>
                <w:rFonts w:ascii="Segoe UI" w:hAnsi="宋体"/>
                <w:color w:val="00000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一、本年新收政府信息公开申请数量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color w:val="000000"/>
                <w:sz w:val="24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二、上年结转政府信息公开申请数量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三、本年度办理结果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（一）予以公开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color w:val="000000"/>
                <w:sz w:val="24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（二）部分公开（区分处理的，只计这一情形，不计其他情形）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（三）不予公开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1.属于国家秘密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2.其他法律行政法规禁止公开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3.危及“三安全一稳定”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4.保护第三方合法权益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5.属于三类内部事务信息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6.属于四类过程性信息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7.属于行政执法案卷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8.属于行政查询事项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（四）无法提供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1.本机关不掌握相关政府信息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2.没有现成信息需要另行制作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3.补正后申请内容仍不明确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（五）不予处理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1.信访举报投诉类申请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2.重复申请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3.要求提供公开出版物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4.无正当理由大量反复申请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5.要求行政机关确认或重新出具已获取信息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（六）其他处理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楷体" w:hAnsi="楷体" w:eastAsia="楷体"/>
                <w:color w:val="000000"/>
                <w:sz w:val="20"/>
                <w:shd w:val="clear" w:color="auto" w:fill="E6F4FF"/>
              </w:rPr>
              <w:t>（七）总计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四、结转下年度继续办理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Calibri" w:hAnsi="宋体"/>
                <w:color w:val="000000"/>
                <w:sz w:val="20"/>
                <w:shd w:val="clear" w:color="auto" w:fill="E6F4FF"/>
              </w:rPr>
              <w:t xml:space="preserve"> </w:t>
            </w: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46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left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8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8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7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r2bl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420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90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75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after="600"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其他结果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尚未审结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总计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结果维持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结果纠正</w:t>
            </w:r>
          </w:p>
        </w:tc>
        <w:tc>
          <w:tcPr>
            <w:tcW w:w="6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其他结果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尚未审结</w:t>
            </w:r>
          </w:p>
        </w:tc>
        <w:tc>
          <w:tcPr>
            <w:tcW w:w="6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ascii="宋体" w:hAnsi="宋体"/>
                <w:color w:val="000000"/>
                <w:sz w:val="20"/>
                <w:shd w:val="clear" w:color="auto" w:fill="E6F4FF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color w:val="000000"/>
                <w:sz w:val="24"/>
                <w:shd w:val="clear" w:color="auto" w:fill="E6F4FF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Calibri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default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color w:val="000000"/>
                <w:sz w:val="24"/>
                <w:shd w:val="clear" w:color="auto" w:fill="E6F4FF"/>
                <w:lang w:val="en-US" w:eastAsia="zh-CN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hd w:val="clear" w:color="auto" w:fill="E6F4FF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Segoe UI" w:hAnsi="宋体" w:eastAsia="宋体"/>
                <w:color w:val="000000"/>
                <w:sz w:val="24"/>
                <w:shd w:val="clear" w:color="auto" w:fill="E6F4FF"/>
                <w:lang w:val="en-US" w:eastAsia="zh-CN"/>
              </w:rPr>
            </w:pPr>
            <w:r>
              <w:rPr>
                <w:rFonts w:hint="eastAsia" w:ascii="Segoe UI" w:hAnsi="宋体"/>
                <w:color w:val="000000"/>
                <w:sz w:val="24"/>
                <w:shd w:val="clear" w:color="auto" w:fill="E6F4FF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Calibri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jc w:val="center"/>
              <w:rPr>
                <w:rFonts w:ascii="宋体" w:hAnsi="宋体"/>
                <w:color w:val="000000"/>
                <w:sz w:val="20"/>
                <w:shd w:val="clear" w:color="auto" w:fill="E6F4FF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E6F4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E6F4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60" w:lineRule="exact"/>
              <w:textAlignment w:val="center"/>
              <w:rPr>
                <w:rFonts w:ascii="Segoe UI" w:hAnsi="宋体"/>
                <w:color w:val="000000"/>
                <w:sz w:val="24"/>
                <w:shd w:val="clear" w:color="auto" w:fill="E6F4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2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u w:val="none"/>
          <w:lang w:eastAsia="zh-CN"/>
        </w:rPr>
        <w:t>，我局的信息公开工作虽取得一定成绩，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但与上级有关要求还存在着一定的差距。主要表现在重点领域及主动公开范围需进一步扩大，内容需进一步规范。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ascii="宋体" w:hAnsi="宋体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针对以上问题，20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年，我局将继续认真贯彻落实《中华人民共和国政府信息公开条例》、《中华人民共和国保守国家秘密法》等相关法律，积极适应新形势发展需要，创新工作思路，认真履行职能，及时发布工作动态，做好信息技术指导及政策宣传，扩大公开范围，继续规范信息公开工作制度建设，持续深入推进信息公开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20"/>
        <w:textAlignment w:val="auto"/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eastAsia="zh-CN"/>
        </w:rPr>
        <w:t>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20" w:lineRule="exact"/>
        <w:ind w:firstLine="4480" w:firstLineChars="14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000000"/>
          <w:sz w:val="32"/>
          <w:szCs w:val="32"/>
          <w:lang w:val="en-US" w:eastAsia="zh-CN"/>
        </w:rPr>
        <w:t xml:space="preserve">   2021年1月26日</w:t>
      </w:r>
    </w:p>
    <w:sectPr>
      <w:pgSz w:w="11906" w:h="16838"/>
      <w:pgMar w:top="1440" w:right="1633" w:bottom="144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63903D"/>
    <w:multiLevelType w:val="singleLevel"/>
    <w:tmpl w:val="DC63903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D1A3D"/>
    <w:rsid w:val="00172A27"/>
    <w:rsid w:val="003A4C7F"/>
    <w:rsid w:val="00743E81"/>
    <w:rsid w:val="007C48D9"/>
    <w:rsid w:val="00853C07"/>
    <w:rsid w:val="00860329"/>
    <w:rsid w:val="03E974E6"/>
    <w:rsid w:val="049C5F58"/>
    <w:rsid w:val="07F4649E"/>
    <w:rsid w:val="080D008D"/>
    <w:rsid w:val="1E0453D0"/>
    <w:rsid w:val="212D3B01"/>
    <w:rsid w:val="241D67AF"/>
    <w:rsid w:val="2A2C48ED"/>
    <w:rsid w:val="383E7510"/>
    <w:rsid w:val="3D51081B"/>
    <w:rsid w:val="424D6EFD"/>
    <w:rsid w:val="450B3EC3"/>
    <w:rsid w:val="4DE62E2A"/>
    <w:rsid w:val="5F8E43A0"/>
    <w:rsid w:val="75437BCF"/>
    <w:rsid w:val="7CAE7BE4"/>
    <w:rsid w:val="7EA2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customStyle="1" w:styleId="9">
    <w:name w:val="fr"/>
    <w:basedOn w:val="6"/>
    <w:qFormat/>
    <w:uiPriority w:val="0"/>
  </w:style>
  <w:style w:type="character" w:customStyle="1" w:styleId="10">
    <w:name w:val="icon_ds1"/>
    <w:basedOn w:val="6"/>
    <w:qFormat/>
    <w:uiPriority w:val="0"/>
    <w:rPr>
      <w:sz w:val="21"/>
      <w:szCs w:val="21"/>
    </w:rPr>
  </w:style>
  <w:style w:type="character" w:customStyle="1" w:styleId="11">
    <w:name w:val="icon_ds"/>
    <w:basedOn w:val="6"/>
    <w:qFormat/>
    <w:uiPriority w:val="0"/>
  </w:style>
  <w:style w:type="character" w:customStyle="1" w:styleId="12">
    <w:name w:val="icon_gys"/>
    <w:basedOn w:val="6"/>
    <w:qFormat/>
    <w:uiPriority w:val="0"/>
    <w:rPr>
      <w:sz w:val="21"/>
      <w:szCs w:val="21"/>
    </w:rPr>
  </w:style>
  <w:style w:type="character" w:customStyle="1" w:styleId="13">
    <w:name w:val="first-child"/>
    <w:basedOn w:val="6"/>
    <w:qFormat/>
    <w:uiPriority w:val="0"/>
    <w:rPr>
      <w:color w:val="1F3149"/>
      <w:sz w:val="24"/>
      <w:szCs w:val="24"/>
    </w:rPr>
  </w:style>
  <w:style w:type="character" w:customStyle="1" w:styleId="14">
    <w:name w:val="xiadan"/>
    <w:basedOn w:val="6"/>
    <w:qFormat/>
    <w:uiPriority w:val="0"/>
    <w:rPr>
      <w:shd w:val="clear" w:color="auto" w:fill="E4393C"/>
    </w:rPr>
  </w:style>
  <w:style w:type="character" w:customStyle="1" w:styleId="15">
    <w:name w:val="first-child1"/>
    <w:basedOn w:val="6"/>
    <w:qFormat/>
    <w:uiPriority w:val="0"/>
    <w:rPr>
      <w:color w:val="1F3149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新郑市政府办</Company>
  <Pages>4</Pages>
  <Words>248</Words>
  <Characters>1420</Characters>
  <Lines>11</Lines>
  <Paragraphs>3</Paragraphs>
  <TotalTime>222</TotalTime>
  <ScaleCrop>false</ScaleCrop>
  <LinksUpToDate>false</LinksUpToDate>
  <CharactersWithSpaces>1665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2020-01-20T01:40:00Z</dcterms:created>
  <dc:creator>管理员</dc:creator>
  <cp:lastModifiedBy>Administrator</cp:lastModifiedBy>
  <dcterms:modified xsi:type="dcterms:W3CDTF">2022-01-12T06:46:18Z</dcterms:modified>
  <dc:title>国务院办公厅政府信息与政务公开办公室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C7A264C08A714D1E9AD7547E1A7548CA</vt:lpwstr>
  </property>
</Properties>
</file>